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6C" w:rsidRPr="004E23D8" w:rsidRDefault="00A44F7C" w:rsidP="00F8348E">
      <w:pPr>
        <w:jc w:val="center"/>
        <w:rPr>
          <w:rFonts w:ascii="Arial" w:hAnsi="Arial" w:cs="Arial"/>
          <w:b/>
          <w:sz w:val="24"/>
          <w:szCs w:val="24"/>
        </w:rPr>
      </w:pPr>
      <w:r w:rsidRPr="004E23D8">
        <w:rPr>
          <w:rFonts w:ascii="Arial" w:hAnsi="Arial" w:cs="Arial"/>
          <w:b/>
          <w:sz w:val="24"/>
          <w:szCs w:val="24"/>
        </w:rPr>
        <w:t>PRINCIPIOS DE LA QUIMIOTERAPIA</w:t>
      </w:r>
    </w:p>
    <w:p w:rsidR="00A44F7C" w:rsidRDefault="00A44F7C" w:rsidP="00592565">
      <w:pPr>
        <w:jc w:val="both"/>
        <w:rPr>
          <w:rFonts w:ascii="Arial" w:hAnsi="Arial" w:cs="Arial"/>
          <w:sz w:val="24"/>
          <w:szCs w:val="24"/>
        </w:rPr>
      </w:pPr>
    </w:p>
    <w:p w:rsidR="00A44F7C" w:rsidRDefault="00A44F7C" w:rsidP="00592565">
      <w:pPr>
        <w:jc w:val="both"/>
        <w:rPr>
          <w:rFonts w:ascii="Arial" w:hAnsi="Arial" w:cs="Arial"/>
          <w:sz w:val="24"/>
          <w:szCs w:val="24"/>
        </w:rPr>
      </w:pPr>
      <w:r>
        <w:rPr>
          <w:rFonts w:ascii="Arial" w:hAnsi="Arial" w:cs="Arial"/>
          <w:sz w:val="24"/>
          <w:szCs w:val="24"/>
        </w:rPr>
        <w:t>La meta de la quimioterapia en el tratamiento del cáncer es eliminar a las células malignas y evitar que hagan metástasis a sitios nuevos. Los agentes quimioterapéuticos están diseñados para enfatizar las diferencias entres las células normales y las células cancerosas. Pueden</w:t>
      </w:r>
      <w:r w:rsidR="003E487C">
        <w:rPr>
          <w:rFonts w:ascii="Arial" w:hAnsi="Arial" w:cs="Arial"/>
          <w:sz w:val="24"/>
          <w:szCs w:val="24"/>
        </w:rPr>
        <w:t xml:space="preserve"> ser citotó</w:t>
      </w:r>
      <w:r>
        <w:rPr>
          <w:rFonts w:ascii="Arial" w:hAnsi="Arial" w:cs="Arial"/>
          <w:sz w:val="24"/>
          <w:szCs w:val="24"/>
        </w:rPr>
        <w:t>xicos (es decir, inducir la eliminación celular) o cito</w:t>
      </w:r>
      <w:r w:rsidR="003E487C">
        <w:rPr>
          <w:rFonts w:ascii="Arial" w:hAnsi="Arial" w:cs="Arial"/>
          <w:sz w:val="24"/>
          <w:szCs w:val="24"/>
        </w:rPr>
        <w:t>s</w:t>
      </w:r>
      <w:r>
        <w:rPr>
          <w:rFonts w:ascii="Arial" w:hAnsi="Arial" w:cs="Arial"/>
          <w:sz w:val="24"/>
          <w:szCs w:val="24"/>
        </w:rPr>
        <w:t>t</w:t>
      </w:r>
      <w:r w:rsidR="003E487C">
        <w:rPr>
          <w:rFonts w:ascii="Arial" w:hAnsi="Arial" w:cs="Arial"/>
          <w:sz w:val="24"/>
          <w:szCs w:val="24"/>
        </w:rPr>
        <w:t>áti</w:t>
      </w:r>
      <w:r>
        <w:rPr>
          <w:rFonts w:ascii="Arial" w:hAnsi="Arial" w:cs="Arial"/>
          <w:sz w:val="24"/>
          <w:szCs w:val="24"/>
        </w:rPr>
        <w:t>co</w:t>
      </w:r>
      <w:r w:rsidR="003E487C">
        <w:rPr>
          <w:rFonts w:ascii="Arial" w:hAnsi="Arial" w:cs="Arial"/>
          <w:sz w:val="24"/>
          <w:szCs w:val="24"/>
        </w:rPr>
        <w:t>s</w:t>
      </w:r>
      <w:r>
        <w:rPr>
          <w:rFonts w:ascii="Arial" w:hAnsi="Arial" w:cs="Arial"/>
          <w:sz w:val="24"/>
          <w:szCs w:val="24"/>
        </w:rPr>
        <w:t xml:space="preserve"> (es decir, </w:t>
      </w:r>
      <w:r w:rsidR="003E487C">
        <w:rPr>
          <w:rFonts w:ascii="Arial" w:hAnsi="Arial" w:cs="Arial"/>
          <w:sz w:val="24"/>
          <w:szCs w:val="24"/>
        </w:rPr>
        <w:t>inhibir la proliferació</w:t>
      </w:r>
      <w:r>
        <w:rPr>
          <w:rFonts w:ascii="Arial" w:hAnsi="Arial" w:cs="Arial"/>
          <w:sz w:val="24"/>
          <w:szCs w:val="24"/>
        </w:rPr>
        <w:t xml:space="preserve">n de las células tumorales durante periodos dados) o pueden, </w:t>
      </w:r>
      <w:r w:rsidR="003E487C">
        <w:rPr>
          <w:rFonts w:ascii="Arial" w:hAnsi="Arial" w:cs="Arial"/>
          <w:sz w:val="24"/>
          <w:szCs w:val="24"/>
        </w:rPr>
        <w:t>ocasionalmente,</w:t>
      </w:r>
      <w:r>
        <w:rPr>
          <w:rFonts w:ascii="Arial" w:hAnsi="Arial" w:cs="Arial"/>
          <w:sz w:val="24"/>
          <w:szCs w:val="24"/>
        </w:rPr>
        <w:t xml:space="preserve"> inducir la diferenciación celular.</w:t>
      </w:r>
      <w:r w:rsidR="003E487C">
        <w:rPr>
          <w:rFonts w:ascii="Arial" w:hAnsi="Arial" w:cs="Arial"/>
          <w:sz w:val="24"/>
          <w:szCs w:val="24"/>
        </w:rPr>
        <w:t xml:space="preserve"> P</w:t>
      </w:r>
      <w:r>
        <w:rPr>
          <w:rFonts w:ascii="Arial" w:hAnsi="Arial" w:cs="Arial"/>
          <w:sz w:val="24"/>
          <w:szCs w:val="24"/>
        </w:rPr>
        <w:t>ara entender cómo funcionan</w:t>
      </w:r>
      <w:r w:rsidR="003E487C">
        <w:rPr>
          <w:rFonts w:ascii="Arial" w:hAnsi="Arial" w:cs="Arial"/>
          <w:sz w:val="24"/>
          <w:szCs w:val="24"/>
        </w:rPr>
        <w:t xml:space="preserve"> los agentes quimioterapé</w:t>
      </w:r>
      <w:r>
        <w:rPr>
          <w:rFonts w:ascii="Arial" w:hAnsi="Arial" w:cs="Arial"/>
          <w:sz w:val="24"/>
          <w:szCs w:val="24"/>
        </w:rPr>
        <w:t>uticos es esencial revisar las características del ciclo celular</w:t>
      </w:r>
      <w:r w:rsidR="003E487C">
        <w:rPr>
          <w:rFonts w:ascii="Arial" w:hAnsi="Arial" w:cs="Arial"/>
          <w:sz w:val="24"/>
          <w:szCs w:val="24"/>
        </w:rPr>
        <w:t xml:space="preserve">, ya que tanto </w:t>
      </w:r>
      <w:r>
        <w:rPr>
          <w:rFonts w:ascii="Arial" w:hAnsi="Arial" w:cs="Arial"/>
          <w:sz w:val="24"/>
          <w:szCs w:val="24"/>
        </w:rPr>
        <w:t xml:space="preserve">las células normales como las malignas pasan por el proceso de división y proliferación. </w:t>
      </w:r>
    </w:p>
    <w:p w:rsidR="003E487C" w:rsidRDefault="003E487C" w:rsidP="00592565">
      <w:pPr>
        <w:jc w:val="both"/>
        <w:rPr>
          <w:rFonts w:ascii="Arial" w:hAnsi="Arial" w:cs="Arial"/>
          <w:sz w:val="24"/>
          <w:szCs w:val="24"/>
        </w:rPr>
      </w:pPr>
    </w:p>
    <w:p w:rsidR="003E487C" w:rsidRPr="004E23D8" w:rsidRDefault="003E487C" w:rsidP="00592565">
      <w:pPr>
        <w:jc w:val="both"/>
        <w:rPr>
          <w:rFonts w:ascii="Arial" w:hAnsi="Arial" w:cs="Arial"/>
          <w:b/>
          <w:sz w:val="24"/>
          <w:szCs w:val="24"/>
        </w:rPr>
      </w:pPr>
      <w:r w:rsidRPr="004E23D8">
        <w:rPr>
          <w:rFonts w:ascii="Arial" w:hAnsi="Arial" w:cs="Arial"/>
          <w:b/>
          <w:sz w:val="24"/>
          <w:szCs w:val="24"/>
        </w:rPr>
        <w:t>CLASE DE AGENTES QUIMIOTERAPEUTICOS</w:t>
      </w:r>
    </w:p>
    <w:p w:rsidR="003E487C" w:rsidRDefault="003E487C" w:rsidP="00592565">
      <w:pPr>
        <w:jc w:val="both"/>
        <w:rPr>
          <w:rFonts w:ascii="Arial" w:hAnsi="Arial" w:cs="Arial"/>
          <w:sz w:val="24"/>
          <w:szCs w:val="24"/>
        </w:rPr>
      </w:pPr>
    </w:p>
    <w:p w:rsidR="00047BD8" w:rsidRDefault="003E487C" w:rsidP="00592565">
      <w:pPr>
        <w:jc w:val="both"/>
        <w:rPr>
          <w:rFonts w:ascii="Arial" w:hAnsi="Arial" w:cs="Arial"/>
          <w:sz w:val="24"/>
          <w:szCs w:val="24"/>
        </w:rPr>
      </w:pPr>
      <w:r>
        <w:rPr>
          <w:rFonts w:ascii="Arial" w:hAnsi="Arial" w:cs="Arial"/>
          <w:sz w:val="24"/>
          <w:szCs w:val="24"/>
        </w:rPr>
        <w:t>Un agente quimioterapéutico es especifico del ciclo celular</w:t>
      </w:r>
      <w:r w:rsidR="00DC61E2">
        <w:rPr>
          <w:rFonts w:ascii="Arial" w:hAnsi="Arial" w:cs="Arial"/>
          <w:sz w:val="24"/>
          <w:szCs w:val="24"/>
        </w:rPr>
        <w:t xml:space="preserve"> </w:t>
      </w:r>
      <w:r>
        <w:rPr>
          <w:rFonts w:ascii="Arial" w:hAnsi="Arial" w:cs="Arial"/>
          <w:sz w:val="24"/>
          <w:szCs w:val="24"/>
        </w:rPr>
        <w:t xml:space="preserve">(es decir, más eficaz en una fase en </w:t>
      </w:r>
      <w:r w:rsidR="00DC61E2">
        <w:rPr>
          <w:rFonts w:ascii="Arial" w:hAnsi="Arial" w:cs="Arial"/>
          <w:sz w:val="24"/>
          <w:szCs w:val="24"/>
        </w:rPr>
        <w:t>particular del ciclo celular) o no especí</w:t>
      </w:r>
      <w:r>
        <w:rPr>
          <w:rFonts w:ascii="Arial" w:hAnsi="Arial" w:cs="Arial"/>
          <w:sz w:val="24"/>
          <w:szCs w:val="24"/>
        </w:rPr>
        <w:t>fico del ciclo celular (es decir,</w:t>
      </w:r>
      <w:r w:rsidR="00DC61E2">
        <w:rPr>
          <w:rFonts w:ascii="Arial" w:hAnsi="Arial" w:cs="Arial"/>
          <w:sz w:val="24"/>
          <w:szCs w:val="24"/>
        </w:rPr>
        <w:t xml:space="preserve"> </w:t>
      </w:r>
      <w:r>
        <w:rPr>
          <w:rFonts w:ascii="Arial" w:hAnsi="Arial" w:cs="Arial"/>
          <w:sz w:val="24"/>
          <w:szCs w:val="24"/>
        </w:rPr>
        <w:t xml:space="preserve">eficaz sin importar la fase celular, el nivel de eficacia depende </w:t>
      </w:r>
      <w:r w:rsidR="00DC61E2">
        <w:rPr>
          <w:rFonts w:ascii="Arial" w:hAnsi="Arial" w:cs="Arial"/>
          <w:sz w:val="24"/>
          <w:szCs w:val="24"/>
        </w:rPr>
        <w:t>más</w:t>
      </w:r>
      <w:r>
        <w:rPr>
          <w:rFonts w:ascii="Arial" w:hAnsi="Arial" w:cs="Arial"/>
          <w:sz w:val="24"/>
          <w:szCs w:val="24"/>
        </w:rPr>
        <w:t xml:space="preserve"> de la intensidad de la dosis del agente). Los agentes quimioterapéuticos se clasifican de</w:t>
      </w:r>
      <w:r w:rsidR="00047BD8">
        <w:rPr>
          <w:rFonts w:ascii="Arial" w:hAnsi="Arial" w:cs="Arial"/>
          <w:sz w:val="24"/>
          <w:szCs w:val="24"/>
        </w:rPr>
        <w:t xml:space="preserve"> </w:t>
      </w:r>
      <w:r w:rsidR="00DC61E2">
        <w:rPr>
          <w:rFonts w:ascii="Arial" w:hAnsi="Arial" w:cs="Arial"/>
          <w:sz w:val="24"/>
          <w:szCs w:val="24"/>
        </w:rPr>
        <w:t>acuerdo</w:t>
      </w:r>
      <w:r>
        <w:rPr>
          <w:rFonts w:ascii="Arial" w:hAnsi="Arial" w:cs="Arial"/>
          <w:sz w:val="24"/>
          <w:szCs w:val="24"/>
        </w:rPr>
        <w:t xml:space="preserve"> con su </w:t>
      </w:r>
      <w:r w:rsidR="00DC61E2">
        <w:rPr>
          <w:rFonts w:ascii="Arial" w:hAnsi="Arial" w:cs="Arial"/>
          <w:sz w:val="24"/>
          <w:szCs w:val="24"/>
        </w:rPr>
        <w:t>estructura</w:t>
      </w:r>
      <w:r>
        <w:rPr>
          <w:rFonts w:ascii="Arial" w:hAnsi="Arial" w:cs="Arial"/>
          <w:sz w:val="24"/>
          <w:szCs w:val="24"/>
        </w:rPr>
        <w:t xml:space="preserve"> química, su fuente  biológica o su efecto fisiológico en el ciclo </w:t>
      </w:r>
      <w:r w:rsidR="00047BD8">
        <w:rPr>
          <w:rFonts w:ascii="Arial" w:hAnsi="Arial" w:cs="Arial"/>
          <w:sz w:val="24"/>
          <w:szCs w:val="24"/>
        </w:rPr>
        <w:t>celular.</w:t>
      </w:r>
    </w:p>
    <w:p w:rsidR="00047BD8" w:rsidRDefault="00047BD8" w:rsidP="00592565">
      <w:pPr>
        <w:pStyle w:val="Prrafodelista"/>
        <w:numPr>
          <w:ilvl w:val="0"/>
          <w:numId w:val="1"/>
        </w:numPr>
        <w:jc w:val="both"/>
        <w:rPr>
          <w:rFonts w:ascii="Arial" w:hAnsi="Arial" w:cs="Arial"/>
          <w:sz w:val="24"/>
          <w:szCs w:val="24"/>
        </w:rPr>
      </w:pPr>
      <w:r>
        <w:rPr>
          <w:rFonts w:ascii="Arial" w:hAnsi="Arial" w:cs="Arial"/>
          <w:sz w:val="24"/>
          <w:szCs w:val="24"/>
        </w:rPr>
        <w:t xml:space="preserve">Los agentes alcalinizantes causan una replicación inexacta o inhiben la replicación del ácido </w:t>
      </w:r>
      <w:r w:rsidR="00DC61E2">
        <w:rPr>
          <w:rFonts w:ascii="Arial" w:hAnsi="Arial" w:cs="Arial"/>
          <w:sz w:val="24"/>
          <w:szCs w:val="24"/>
        </w:rPr>
        <w:t>desoxirribonucleico (ADN</w:t>
      </w:r>
      <w:r>
        <w:rPr>
          <w:rFonts w:ascii="Arial" w:hAnsi="Arial" w:cs="Arial"/>
          <w:sz w:val="24"/>
          <w:szCs w:val="24"/>
        </w:rPr>
        <w:t xml:space="preserve">), provocando </w:t>
      </w:r>
      <w:r w:rsidR="00DC61E2">
        <w:rPr>
          <w:rFonts w:ascii="Arial" w:hAnsi="Arial" w:cs="Arial"/>
          <w:sz w:val="24"/>
          <w:szCs w:val="24"/>
        </w:rPr>
        <w:t>mutación o muert</w:t>
      </w:r>
      <w:r>
        <w:rPr>
          <w:rFonts w:ascii="Arial" w:hAnsi="Arial" w:cs="Arial"/>
          <w:sz w:val="24"/>
          <w:szCs w:val="24"/>
        </w:rPr>
        <w:t xml:space="preserve">e celular. Son </w:t>
      </w:r>
      <w:r w:rsidR="00DC61E2">
        <w:rPr>
          <w:rFonts w:ascii="Arial" w:hAnsi="Arial" w:cs="Arial"/>
          <w:sz w:val="24"/>
          <w:szCs w:val="24"/>
        </w:rPr>
        <w:t>más</w:t>
      </w:r>
      <w:r>
        <w:rPr>
          <w:rFonts w:ascii="Arial" w:hAnsi="Arial" w:cs="Arial"/>
          <w:sz w:val="24"/>
          <w:szCs w:val="24"/>
        </w:rPr>
        <w:t xml:space="preserve"> activos en la fase de reposo</w:t>
      </w:r>
      <w:r w:rsidR="00DC61E2">
        <w:rPr>
          <w:rFonts w:ascii="Arial" w:hAnsi="Arial" w:cs="Arial"/>
          <w:sz w:val="24"/>
          <w:szCs w:val="24"/>
        </w:rPr>
        <w:t xml:space="preserve"> </w:t>
      </w:r>
      <w:r>
        <w:rPr>
          <w:rFonts w:ascii="Arial" w:hAnsi="Arial" w:cs="Arial"/>
          <w:sz w:val="24"/>
          <w:szCs w:val="24"/>
        </w:rPr>
        <w:t>(</w:t>
      </w:r>
      <w:proofErr w:type="spellStart"/>
      <w:r>
        <w:rPr>
          <w:rFonts w:ascii="Arial" w:hAnsi="Arial" w:cs="Arial"/>
          <w:sz w:val="24"/>
          <w:szCs w:val="24"/>
        </w:rPr>
        <w:t>Go</w:t>
      </w:r>
      <w:proofErr w:type="spellEnd"/>
      <w:r>
        <w:rPr>
          <w:rFonts w:ascii="Arial" w:hAnsi="Arial" w:cs="Arial"/>
          <w:sz w:val="24"/>
          <w:szCs w:val="24"/>
        </w:rPr>
        <w:t>).</w:t>
      </w:r>
    </w:p>
    <w:p w:rsidR="00047BD8" w:rsidRDefault="00047BD8" w:rsidP="00592565">
      <w:pPr>
        <w:pStyle w:val="Prrafodelista"/>
        <w:numPr>
          <w:ilvl w:val="0"/>
          <w:numId w:val="1"/>
        </w:numPr>
        <w:jc w:val="both"/>
        <w:rPr>
          <w:rFonts w:ascii="Arial" w:hAnsi="Arial" w:cs="Arial"/>
          <w:sz w:val="24"/>
          <w:szCs w:val="24"/>
        </w:rPr>
      </w:pPr>
      <w:r>
        <w:rPr>
          <w:rFonts w:ascii="Arial" w:hAnsi="Arial" w:cs="Arial"/>
          <w:sz w:val="24"/>
          <w:szCs w:val="24"/>
        </w:rPr>
        <w:t xml:space="preserve">Los </w:t>
      </w:r>
      <w:r w:rsidR="00DC61E2">
        <w:rPr>
          <w:rFonts w:ascii="Arial" w:hAnsi="Arial" w:cs="Arial"/>
          <w:sz w:val="24"/>
          <w:szCs w:val="24"/>
        </w:rPr>
        <w:t>antibióticos</w:t>
      </w:r>
      <w:r>
        <w:rPr>
          <w:rFonts w:ascii="Arial" w:hAnsi="Arial" w:cs="Arial"/>
          <w:sz w:val="24"/>
          <w:szCs w:val="24"/>
        </w:rPr>
        <w:t xml:space="preserve">  antineoplásicos se unen al ADN e impiden la replicación continua del ADN y la </w:t>
      </w:r>
      <w:r w:rsidR="00DC61E2">
        <w:rPr>
          <w:rFonts w:ascii="Arial" w:hAnsi="Arial" w:cs="Arial"/>
          <w:sz w:val="24"/>
          <w:szCs w:val="24"/>
        </w:rPr>
        <w:t>trascripción</w:t>
      </w:r>
      <w:r>
        <w:rPr>
          <w:rFonts w:ascii="Arial" w:hAnsi="Arial" w:cs="Arial"/>
          <w:sz w:val="24"/>
          <w:szCs w:val="24"/>
        </w:rPr>
        <w:t xml:space="preserve"> del </w:t>
      </w:r>
      <w:r w:rsidR="00DC61E2">
        <w:rPr>
          <w:rFonts w:ascii="Arial" w:hAnsi="Arial" w:cs="Arial"/>
          <w:sz w:val="24"/>
          <w:szCs w:val="24"/>
        </w:rPr>
        <w:t>ácido</w:t>
      </w:r>
      <w:r>
        <w:rPr>
          <w:rFonts w:ascii="Arial" w:hAnsi="Arial" w:cs="Arial"/>
          <w:sz w:val="24"/>
          <w:szCs w:val="24"/>
        </w:rPr>
        <w:t xml:space="preserve"> </w:t>
      </w:r>
      <w:r w:rsidR="00DC61E2">
        <w:rPr>
          <w:rFonts w:ascii="Arial" w:hAnsi="Arial" w:cs="Arial"/>
          <w:sz w:val="24"/>
          <w:szCs w:val="24"/>
        </w:rPr>
        <w:t>ribonucleico</w:t>
      </w:r>
      <w:r>
        <w:rPr>
          <w:rFonts w:ascii="Arial" w:hAnsi="Arial" w:cs="Arial"/>
          <w:sz w:val="24"/>
          <w:szCs w:val="24"/>
        </w:rPr>
        <w:t xml:space="preserve"> (ARN).</w:t>
      </w:r>
      <w:r w:rsidR="00DC61E2">
        <w:rPr>
          <w:rFonts w:ascii="Arial" w:hAnsi="Arial" w:cs="Arial"/>
          <w:sz w:val="24"/>
          <w:szCs w:val="24"/>
        </w:rPr>
        <w:t>actúan</w:t>
      </w:r>
      <w:r>
        <w:rPr>
          <w:rFonts w:ascii="Arial" w:hAnsi="Arial" w:cs="Arial"/>
          <w:sz w:val="24"/>
          <w:szCs w:val="24"/>
        </w:rPr>
        <w:t xml:space="preserve"> en todas las fases.</w:t>
      </w:r>
    </w:p>
    <w:p w:rsidR="00047BD8" w:rsidRDefault="00047BD8" w:rsidP="00592565">
      <w:pPr>
        <w:pStyle w:val="Prrafodelista"/>
        <w:numPr>
          <w:ilvl w:val="0"/>
          <w:numId w:val="1"/>
        </w:numPr>
        <w:jc w:val="both"/>
        <w:rPr>
          <w:rFonts w:ascii="Arial" w:hAnsi="Arial" w:cs="Arial"/>
          <w:sz w:val="24"/>
          <w:szCs w:val="24"/>
        </w:rPr>
      </w:pPr>
      <w:r>
        <w:rPr>
          <w:rFonts w:ascii="Arial" w:hAnsi="Arial" w:cs="Arial"/>
          <w:sz w:val="24"/>
          <w:szCs w:val="24"/>
        </w:rPr>
        <w:t xml:space="preserve">Los antimetabolitos se parecen a los elementos metabólicos esenciales necesarios para el crecimiento celular y están alterados de manera que se </w:t>
      </w:r>
      <w:r w:rsidR="00DC61E2">
        <w:rPr>
          <w:rFonts w:ascii="Arial" w:hAnsi="Arial" w:cs="Arial"/>
          <w:sz w:val="24"/>
          <w:szCs w:val="24"/>
        </w:rPr>
        <w:t>inhibe</w:t>
      </w:r>
      <w:r>
        <w:rPr>
          <w:rFonts w:ascii="Arial" w:hAnsi="Arial" w:cs="Arial"/>
          <w:sz w:val="24"/>
          <w:szCs w:val="24"/>
        </w:rPr>
        <w:t xml:space="preserve"> la síntesis de ARN y ADN.</w:t>
      </w:r>
    </w:p>
    <w:p w:rsidR="00047BD8" w:rsidRDefault="00047BD8" w:rsidP="00592565">
      <w:pPr>
        <w:pStyle w:val="Prrafodelista"/>
        <w:numPr>
          <w:ilvl w:val="0"/>
          <w:numId w:val="1"/>
        </w:numPr>
        <w:jc w:val="both"/>
        <w:rPr>
          <w:rFonts w:ascii="Arial" w:hAnsi="Arial" w:cs="Arial"/>
          <w:sz w:val="24"/>
          <w:szCs w:val="24"/>
        </w:rPr>
      </w:pPr>
      <w:r>
        <w:rPr>
          <w:rFonts w:ascii="Arial" w:hAnsi="Arial" w:cs="Arial"/>
          <w:sz w:val="24"/>
          <w:szCs w:val="24"/>
        </w:rPr>
        <w:lastRenderedPageBreak/>
        <w:t>Los alcaloides vegetales paran a las células en metafases y evitan la</w:t>
      </w:r>
      <w:r w:rsidR="00DC61E2">
        <w:rPr>
          <w:rFonts w:ascii="Arial" w:hAnsi="Arial" w:cs="Arial"/>
          <w:sz w:val="24"/>
          <w:szCs w:val="24"/>
        </w:rPr>
        <w:t xml:space="preserve"> </w:t>
      </w:r>
      <w:r>
        <w:rPr>
          <w:rFonts w:ascii="Arial" w:hAnsi="Arial" w:cs="Arial"/>
          <w:sz w:val="24"/>
          <w:szCs w:val="24"/>
        </w:rPr>
        <w:t xml:space="preserve">formación </w:t>
      </w:r>
      <w:r w:rsidR="00DC61E2">
        <w:rPr>
          <w:rFonts w:ascii="Arial" w:hAnsi="Arial" w:cs="Arial"/>
          <w:sz w:val="24"/>
          <w:szCs w:val="24"/>
        </w:rPr>
        <w:t>de husos al unirse a los microtúbulos.</w:t>
      </w:r>
    </w:p>
    <w:p w:rsidR="00DC61E2" w:rsidRDefault="00047BD8" w:rsidP="00592565">
      <w:pPr>
        <w:pStyle w:val="Prrafodelista"/>
        <w:numPr>
          <w:ilvl w:val="0"/>
          <w:numId w:val="1"/>
        </w:numPr>
        <w:jc w:val="both"/>
        <w:rPr>
          <w:rFonts w:ascii="Arial" w:hAnsi="Arial" w:cs="Arial"/>
          <w:sz w:val="24"/>
          <w:szCs w:val="24"/>
        </w:rPr>
      </w:pPr>
      <w:r>
        <w:rPr>
          <w:rFonts w:ascii="Arial" w:hAnsi="Arial" w:cs="Arial"/>
          <w:sz w:val="24"/>
          <w:szCs w:val="24"/>
        </w:rPr>
        <w:t xml:space="preserve">Las hormonas </w:t>
      </w:r>
      <w:r w:rsidR="00DC61E2">
        <w:rPr>
          <w:rFonts w:ascii="Arial" w:hAnsi="Arial" w:cs="Arial"/>
          <w:sz w:val="24"/>
          <w:szCs w:val="24"/>
        </w:rPr>
        <w:t>inhiben</w:t>
      </w:r>
      <w:r w:rsidR="00592565">
        <w:rPr>
          <w:rFonts w:ascii="Arial" w:hAnsi="Arial" w:cs="Arial"/>
          <w:sz w:val="24"/>
          <w:szCs w:val="24"/>
        </w:rPr>
        <w:t xml:space="preserve"> la</w:t>
      </w:r>
      <w:r>
        <w:rPr>
          <w:rFonts w:ascii="Arial" w:hAnsi="Arial" w:cs="Arial"/>
          <w:sz w:val="24"/>
          <w:szCs w:val="24"/>
        </w:rPr>
        <w:t xml:space="preserve"> </w:t>
      </w:r>
      <w:r w:rsidR="00DC61E2">
        <w:rPr>
          <w:rFonts w:ascii="Arial" w:hAnsi="Arial" w:cs="Arial"/>
          <w:sz w:val="24"/>
          <w:szCs w:val="24"/>
        </w:rPr>
        <w:t>proliferación</w:t>
      </w:r>
      <w:r>
        <w:rPr>
          <w:rFonts w:ascii="Arial" w:hAnsi="Arial" w:cs="Arial"/>
          <w:sz w:val="24"/>
          <w:szCs w:val="24"/>
        </w:rPr>
        <w:t xml:space="preserve"> tumoral al bloquear las sustancias naturales que estimulan el crecimie</w:t>
      </w:r>
      <w:r w:rsidR="00DC61E2">
        <w:rPr>
          <w:rFonts w:ascii="Arial" w:hAnsi="Arial" w:cs="Arial"/>
          <w:sz w:val="24"/>
          <w:szCs w:val="24"/>
        </w:rPr>
        <w:t>nto tumoral. L</w:t>
      </w:r>
      <w:r w:rsidR="00592565">
        <w:rPr>
          <w:rFonts w:ascii="Arial" w:hAnsi="Arial" w:cs="Arial"/>
          <w:sz w:val="24"/>
          <w:szCs w:val="24"/>
        </w:rPr>
        <w:t>a prednis</w:t>
      </w:r>
      <w:r>
        <w:rPr>
          <w:rFonts w:ascii="Arial" w:hAnsi="Arial" w:cs="Arial"/>
          <w:sz w:val="24"/>
          <w:szCs w:val="24"/>
        </w:rPr>
        <w:t>ona</w:t>
      </w:r>
      <w:r w:rsidR="00592565">
        <w:rPr>
          <w:rFonts w:ascii="Arial" w:hAnsi="Arial" w:cs="Arial"/>
          <w:sz w:val="24"/>
          <w:szCs w:val="24"/>
        </w:rPr>
        <w:t xml:space="preserve"> y dexametasona son los es</w:t>
      </w:r>
      <w:r>
        <w:rPr>
          <w:rFonts w:ascii="Arial" w:hAnsi="Arial" w:cs="Arial"/>
          <w:sz w:val="24"/>
          <w:szCs w:val="24"/>
        </w:rPr>
        <w:t>teroides</w:t>
      </w:r>
      <w:r w:rsidR="00DC61E2">
        <w:rPr>
          <w:rFonts w:ascii="Arial" w:hAnsi="Arial" w:cs="Arial"/>
          <w:sz w:val="24"/>
          <w:szCs w:val="24"/>
        </w:rPr>
        <w:t xml:space="preserve"> de</w:t>
      </w:r>
      <w:r w:rsidR="00592565">
        <w:rPr>
          <w:rFonts w:ascii="Arial" w:hAnsi="Arial" w:cs="Arial"/>
          <w:sz w:val="24"/>
          <w:szCs w:val="24"/>
        </w:rPr>
        <w:t xml:space="preserve"> </w:t>
      </w:r>
      <w:r w:rsidR="00DC61E2">
        <w:rPr>
          <w:rFonts w:ascii="Arial" w:hAnsi="Arial" w:cs="Arial"/>
          <w:sz w:val="24"/>
          <w:szCs w:val="24"/>
        </w:rPr>
        <w:t xml:space="preserve">uso  </w:t>
      </w:r>
      <w:r w:rsidR="00592565">
        <w:rPr>
          <w:rFonts w:ascii="Arial" w:hAnsi="Arial" w:cs="Arial"/>
          <w:sz w:val="24"/>
          <w:szCs w:val="24"/>
        </w:rPr>
        <w:t>más</w:t>
      </w:r>
      <w:r w:rsidR="00DC61E2">
        <w:rPr>
          <w:rFonts w:ascii="Arial" w:hAnsi="Arial" w:cs="Arial"/>
          <w:sz w:val="24"/>
          <w:szCs w:val="24"/>
        </w:rPr>
        <w:t xml:space="preserve"> frecuentes en la terapia antitumoral.</w:t>
      </w:r>
      <w:r w:rsidR="00007480">
        <w:rPr>
          <w:rFonts w:ascii="Arial" w:hAnsi="Arial" w:cs="Arial"/>
          <w:sz w:val="24"/>
          <w:szCs w:val="24"/>
        </w:rPr>
        <w:t xml:space="preserve"> </w:t>
      </w:r>
    </w:p>
    <w:p w:rsidR="00047BD8" w:rsidRDefault="00DC61E2" w:rsidP="00592565">
      <w:pPr>
        <w:pStyle w:val="Prrafodelista"/>
        <w:numPr>
          <w:ilvl w:val="0"/>
          <w:numId w:val="1"/>
        </w:numPr>
        <w:jc w:val="both"/>
        <w:rPr>
          <w:rFonts w:ascii="Arial" w:hAnsi="Arial" w:cs="Arial"/>
          <w:sz w:val="24"/>
          <w:szCs w:val="24"/>
        </w:rPr>
      </w:pPr>
      <w:r>
        <w:rPr>
          <w:rFonts w:ascii="Arial" w:hAnsi="Arial" w:cs="Arial"/>
          <w:sz w:val="24"/>
          <w:szCs w:val="24"/>
        </w:rPr>
        <w:t xml:space="preserve">Los agentes misceláneos </w:t>
      </w:r>
      <w:r w:rsidR="00592565">
        <w:rPr>
          <w:rFonts w:ascii="Arial" w:hAnsi="Arial" w:cs="Arial"/>
          <w:sz w:val="24"/>
          <w:szCs w:val="24"/>
        </w:rPr>
        <w:t>incluyen una amplia</w:t>
      </w:r>
      <w:r>
        <w:rPr>
          <w:rFonts w:ascii="Arial" w:hAnsi="Arial" w:cs="Arial"/>
          <w:sz w:val="24"/>
          <w:szCs w:val="24"/>
        </w:rPr>
        <w:t xml:space="preserve"> variedad de agentes que no encajan en ninguna otra categoría o cuyo mecanismo de acción no se entienden del todo. Algunos ejemplos de estos fármacos </w:t>
      </w:r>
      <w:r w:rsidR="00592565">
        <w:rPr>
          <w:rFonts w:ascii="Arial" w:hAnsi="Arial" w:cs="Arial"/>
          <w:sz w:val="24"/>
          <w:szCs w:val="24"/>
        </w:rPr>
        <w:t>incluyen a la</w:t>
      </w:r>
      <w:r w:rsidR="00007480">
        <w:rPr>
          <w:rFonts w:ascii="Arial" w:hAnsi="Arial" w:cs="Arial"/>
          <w:sz w:val="24"/>
          <w:szCs w:val="24"/>
        </w:rPr>
        <w:t xml:space="preserve"> L-</w:t>
      </w:r>
      <w:r>
        <w:rPr>
          <w:rFonts w:ascii="Arial" w:hAnsi="Arial" w:cs="Arial"/>
          <w:sz w:val="24"/>
          <w:szCs w:val="24"/>
        </w:rPr>
        <w:t xml:space="preserve">asparaginasa, </w:t>
      </w:r>
      <w:r w:rsidR="00007480">
        <w:rPr>
          <w:rFonts w:ascii="Arial" w:hAnsi="Arial" w:cs="Arial"/>
          <w:sz w:val="24"/>
          <w:szCs w:val="24"/>
        </w:rPr>
        <w:t>hidroxiurea y procarbaz</w:t>
      </w:r>
      <w:r>
        <w:rPr>
          <w:rFonts w:ascii="Arial" w:hAnsi="Arial" w:cs="Arial"/>
          <w:sz w:val="24"/>
          <w:szCs w:val="24"/>
        </w:rPr>
        <w:t>ina.</w:t>
      </w:r>
      <w:r w:rsidR="00047BD8">
        <w:rPr>
          <w:rFonts w:ascii="Arial" w:hAnsi="Arial" w:cs="Arial"/>
          <w:sz w:val="24"/>
          <w:szCs w:val="24"/>
        </w:rPr>
        <w:t xml:space="preserve"> </w:t>
      </w:r>
    </w:p>
    <w:p w:rsidR="004E23D8" w:rsidRPr="00047BD8" w:rsidRDefault="004E23D8" w:rsidP="004E23D8">
      <w:pPr>
        <w:pStyle w:val="Prrafodelista"/>
        <w:jc w:val="both"/>
        <w:rPr>
          <w:rFonts w:ascii="Arial" w:hAnsi="Arial" w:cs="Arial"/>
          <w:sz w:val="24"/>
          <w:szCs w:val="24"/>
        </w:rPr>
      </w:pPr>
    </w:p>
    <w:p w:rsidR="003E487C" w:rsidRPr="004E23D8" w:rsidRDefault="003E487C" w:rsidP="00592565">
      <w:pPr>
        <w:jc w:val="both"/>
        <w:rPr>
          <w:rFonts w:ascii="Arial" w:hAnsi="Arial" w:cs="Arial"/>
          <w:b/>
          <w:sz w:val="24"/>
          <w:szCs w:val="24"/>
        </w:rPr>
      </w:pPr>
      <w:r>
        <w:rPr>
          <w:rFonts w:ascii="Arial" w:hAnsi="Arial" w:cs="Arial"/>
          <w:sz w:val="24"/>
          <w:szCs w:val="24"/>
        </w:rPr>
        <w:t xml:space="preserve"> </w:t>
      </w:r>
      <w:r w:rsidR="00592565" w:rsidRPr="004E23D8">
        <w:rPr>
          <w:rFonts w:ascii="Arial" w:hAnsi="Arial" w:cs="Arial"/>
          <w:b/>
          <w:sz w:val="24"/>
          <w:szCs w:val="24"/>
        </w:rPr>
        <w:t xml:space="preserve">QUIMIOTERAPIA DE COMBINACION </w:t>
      </w:r>
    </w:p>
    <w:p w:rsidR="00592565" w:rsidRDefault="00592565" w:rsidP="00592565">
      <w:pPr>
        <w:jc w:val="both"/>
        <w:rPr>
          <w:rFonts w:ascii="Arial" w:hAnsi="Arial" w:cs="Arial"/>
          <w:sz w:val="24"/>
          <w:szCs w:val="24"/>
        </w:rPr>
      </w:pPr>
      <w:r w:rsidRPr="00592565">
        <w:rPr>
          <w:rFonts w:ascii="Arial" w:hAnsi="Arial" w:cs="Arial"/>
          <w:sz w:val="24"/>
          <w:szCs w:val="24"/>
        </w:rPr>
        <w:t>La quimi</w:t>
      </w:r>
      <w:r w:rsidR="004E23D8">
        <w:rPr>
          <w:rFonts w:ascii="Arial" w:hAnsi="Arial" w:cs="Arial"/>
          <w:sz w:val="24"/>
          <w:szCs w:val="24"/>
        </w:rPr>
        <w:t>o</w:t>
      </w:r>
      <w:r w:rsidRPr="00592565">
        <w:rPr>
          <w:rFonts w:ascii="Arial" w:hAnsi="Arial" w:cs="Arial"/>
          <w:sz w:val="24"/>
          <w:szCs w:val="24"/>
        </w:rPr>
        <w:t xml:space="preserve">terapia de combinación es el uso de dos o más fármacos que se administra de forma </w:t>
      </w:r>
      <w:r w:rsidR="004E23D8" w:rsidRPr="00592565">
        <w:rPr>
          <w:rFonts w:ascii="Arial" w:hAnsi="Arial" w:cs="Arial"/>
          <w:sz w:val="24"/>
          <w:szCs w:val="24"/>
        </w:rPr>
        <w:t>simultánea</w:t>
      </w:r>
      <w:r w:rsidRPr="00592565">
        <w:rPr>
          <w:rFonts w:ascii="Arial" w:hAnsi="Arial" w:cs="Arial"/>
          <w:sz w:val="24"/>
          <w:szCs w:val="24"/>
        </w:rPr>
        <w:t xml:space="preserve"> o en secuencia  en un esfuerzo de lograr la mejor respuesta terapéutica dentro de un rango de toxicidad tolerado por el huésped. Los fármacos se administran en intervalos regulares (ciclos) para optimizar la dosis y el esquema de administración. La terapia de combinación es sup</w:t>
      </w:r>
      <w:r w:rsidR="004E23D8">
        <w:rPr>
          <w:rFonts w:ascii="Arial" w:hAnsi="Arial" w:cs="Arial"/>
          <w:sz w:val="24"/>
          <w:szCs w:val="24"/>
        </w:rPr>
        <w:t>erior a los agentes de una sola</w:t>
      </w:r>
      <w:r w:rsidRPr="00592565">
        <w:rPr>
          <w:rFonts w:ascii="Arial" w:hAnsi="Arial" w:cs="Arial"/>
          <w:sz w:val="24"/>
          <w:szCs w:val="24"/>
        </w:rPr>
        <w:t xml:space="preserve"> dosis por que produce una mayor tasa de respuesta tumoral, una mayor duración de remisión y una reducción en el desarrollo de grupo celulares nuevos y resistentes. Los agentes terapéuticos que se usa en combinación se selecciona con base en su:</w:t>
      </w:r>
    </w:p>
    <w:p w:rsidR="00592565" w:rsidRDefault="00592565" w:rsidP="00592565">
      <w:pPr>
        <w:pStyle w:val="Prrafodelista"/>
        <w:numPr>
          <w:ilvl w:val="0"/>
          <w:numId w:val="3"/>
        </w:numPr>
        <w:jc w:val="both"/>
        <w:rPr>
          <w:rFonts w:ascii="Arial" w:hAnsi="Arial" w:cs="Arial"/>
          <w:sz w:val="24"/>
          <w:szCs w:val="24"/>
        </w:rPr>
      </w:pPr>
      <w:r>
        <w:rPr>
          <w:rFonts w:ascii="Arial" w:hAnsi="Arial" w:cs="Arial"/>
          <w:sz w:val="24"/>
          <w:szCs w:val="24"/>
        </w:rPr>
        <w:t>Acción individual contra una enfermedad especifica.</w:t>
      </w:r>
    </w:p>
    <w:p w:rsidR="00592565" w:rsidRDefault="00592565" w:rsidP="00592565">
      <w:pPr>
        <w:pStyle w:val="Prrafodelista"/>
        <w:numPr>
          <w:ilvl w:val="0"/>
          <w:numId w:val="3"/>
        </w:numPr>
        <w:jc w:val="both"/>
        <w:rPr>
          <w:rFonts w:ascii="Arial" w:hAnsi="Arial" w:cs="Arial"/>
          <w:sz w:val="24"/>
          <w:szCs w:val="24"/>
        </w:rPr>
      </w:pPr>
      <w:r>
        <w:rPr>
          <w:rFonts w:ascii="Arial" w:hAnsi="Arial" w:cs="Arial"/>
          <w:sz w:val="24"/>
          <w:szCs w:val="24"/>
        </w:rPr>
        <w:t>Capacidad de causas efecto en diferentes fases del ciclos celular.</w:t>
      </w:r>
    </w:p>
    <w:p w:rsidR="00592565" w:rsidRDefault="00592565" w:rsidP="00592565">
      <w:pPr>
        <w:pStyle w:val="Prrafodelista"/>
        <w:numPr>
          <w:ilvl w:val="0"/>
          <w:numId w:val="3"/>
        </w:numPr>
        <w:jc w:val="both"/>
        <w:rPr>
          <w:rFonts w:ascii="Arial" w:hAnsi="Arial" w:cs="Arial"/>
          <w:sz w:val="24"/>
          <w:szCs w:val="24"/>
        </w:rPr>
      </w:pPr>
      <w:r>
        <w:rPr>
          <w:rFonts w:ascii="Arial" w:hAnsi="Arial" w:cs="Arial"/>
          <w:sz w:val="24"/>
          <w:szCs w:val="24"/>
        </w:rPr>
        <w:t>Diferentes perfiles de efectos secundarios para evitar la superposición de toxicidades del tratamiento.</w:t>
      </w:r>
    </w:p>
    <w:p w:rsidR="0096486C" w:rsidRDefault="00592565" w:rsidP="00592565">
      <w:pPr>
        <w:pStyle w:val="Prrafodelista"/>
        <w:numPr>
          <w:ilvl w:val="0"/>
          <w:numId w:val="3"/>
        </w:numPr>
        <w:jc w:val="both"/>
        <w:rPr>
          <w:rFonts w:ascii="Arial" w:hAnsi="Arial" w:cs="Arial"/>
          <w:sz w:val="24"/>
          <w:szCs w:val="24"/>
        </w:rPr>
      </w:pPr>
      <w:r>
        <w:rPr>
          <w:rFonts w:ascii="Arial" w:hAnsi="Arial" w:cs="Arial"/>
          <w:sz w:val="24"/>
          <w:szCs w:val="24"/>
        </w:rPr>
        <w:t>Sinergia (es decir, acción mejorada cuando se usan juntos).</w:t>
      </w:r>
    </w:p>
    <w:p w:rsidR="0096486C" w:rsidRDefault="0096486C" w:rsidP="0096486C">
      <w:pPr>
        <w:pStyle w:val="Prrafodelista"/>
        <w:jc w:val="both"/>
        <w:rPr>
          <w:rFonts w:ascii="Arial" w:hAnsi="Arial" w:cs="Arial"/>
          <w:sz w:val="24"/>
          <w:szCs w:val="24"/>
        </w:rPr>
      </w:pPr>
    </w:p>
    <w:p w:rsidR="00F8348E" w:rsidRDefault="00F8348E" w:rsidP="0096486C">
      <w:pPr>
        <w:jc w:val="both"/>
        <w:rPr>
          <w:rFonts w:ascii="Arial" w:hAnsi="Arial" w:cs="Arial"/>
          <w:b/>
          <w:sz w:val="24"/>
          <w:szCs w:val="24"/>
        </w:rPr>
      </w:pPr>
    </w:p>
    <w:p w:rsidR="00F8348E" w:rsidRDefault="00F8348E" w:rsidP="0096486C">
      <w:pPr>
        <w:jc w:val="both"/>
        <w:rPr>
          <w:rFonts w:ascii="Arial" w:hAnsi="Arial" w:cs="Arial"/>
          <w:b/>
          <w:sz w:val="24"/>
          <w:szCs w:val="24"/>
        </w:rPr>
      </w:pPr>
    </w:p>
    <w:p w:rsidR="00F8348E" w:rsidRDefault="00F8348E" w:rsidP="0096486C">
      <w:pPr>
        <w:jc w:val="both"/>
        <w:rPr>
          <w:rFonts w:ascii="Arial" w:hAnsi="Arial" w:cs="Arial"/>
          <w:b/>
          <w:sz w:val="24"/>
          <w:szCs w:val="24"/>
        </w:rPr>
      </w:pPr>
    </w:p>
    <w:p w:rsidR="00592565" w:rsidRPr="004E23D8" w:rsidRDefault="0096486C" w:rsidP="0096486C">
      <w:pPr>
        <w:jc w:val="both"/>
        <w:rPr>
          <w:rFonts w:ascii="Arial" w:hAnsi="Arial" w:cs="Arial"/>
          <w:b/>
          <w:sz w:val="24"/>
          <w:szCs w:val="24"/>
        </w:rPr>
      </w:pPr>
      <w:r w:rsidRPr="004E23D8">
        <w:rPr>
          <w:rFonts w:ascii="Arial" w:hAnsi="Arial" w:cs="Arial"/>
          <w:b/>
          <w:sz w:val="24"/>
          <w:szCs w:val="24"/>
        </w:rPr>
        <w:lastRenderedPageBreak/>
        <w:t>FUNCION DE LA QUIMIOTERAPIA EN LA TERAPIA CONTRA EL CANCER INFANTIL</w:t>
      </w:r>
      <w:r w:rsidR="00592565" w:rsidRPr="004E23D8">
        <w:rPr>
          <w:rFonts w:ascii="Arial" w:hAnsi="Arial" w:cs="Arial"/>
          <w:b/>
          <w:sz w:val="24"/>
          <w:szCs w:val="24"/>
        </w:rPr>
        <w:t xml:space="preserve">  </w:t>
      </w:r>
    </w:p>
    <w:p w:rsidR="0096486C" w:rsidRDefault="0096486C" w:rsidP="0096486C">
      <w:pPr>
        <w:jc w:val="both"/>
        <w:rPr>
          <w:rFonts w:ascii="Arial" w:hAnsi="Arial" w:cs="Arial"/>
          <w:sz w:val="24"/>
          <w:szCs w:val="24"/>
        </w:rPr>
      </w:pPr>
    </w:p>
    <w:p w:rsidR="0096486C" w:rsidRDefault="0096486C" w:rsidP="0096486C">
      <w:pPr>
        <w:jc w:val="both"/>
        <w:rPr>
          <w:rFonts w:ascii="Arial" w:hAnsi="Arial" w:cs="Arial"/>
          <w:sz w:val="24"/>
          <w:szCs w:val="24"/>
        </w:rPr>
      </w:pPr>
      <w:r>
        <w:rPr>
          <w:rFonts w:ascii="Arial" w:hAnsi="Arial" w:cs="Arial"/>
          <w:sz w:val="24"/>
          <w:szCs w:val="24"/>
        </w:rPr>
        <w:t>El uso de quimioterapia en el cáncer infantil se basa en su eficacia para enfermedades específicas y el resultado esperado de su uso. La quimioterapia se emplea de diversas formas:</w:t>
      </w:r>
    </w:p>
    <w:p w:rsidR="0096486C" w:rsidRDefault="0096486C" w:rsidP="0096486C">
      <w:pPr>
        <w:pStyle w:val="Prrafodelista"/>
        <w:numPr>
          <w:ilvl w:val="0"/>
          <w:numId w:val="4"/>
        </w:numPr>
        <w:jc w:val="both"/>
        <w:rPr>
          <w:rFonts w:ascii="Arial" w:hAnsi="Arial" w:cs="Arial"/>
          <w:sz w:val="24"/>
          <w:szCs w:val="24"/>
        </w:rPr>
      </w:pPr>
      <w:r>
        <w:rPr>
          <w:rFonts w:ascii="Arial" w:hAnsi="Arial" w:cs="Arial"/>
          <w:sz w:val="24"/>
          <w:szCs w:val="24"/>
        </w:rPr>
        <w:t xml:space="preserve">La terapia </w:t>
      </w:r>
      <w:r w:rsidR="000B4C9A">
        <w:rPr>
          <w:rFonts w:ascii="Arial" w:hAnsi="Arial" w:cs="Arial"/>
          <w:sz w:val="24"/>
          <w:szCs w:val="24"/>
        </w:rPr>
        <w:t>multimodal</w:t>
      </w:r>
      <w:r>
        <w:rPr>
          <w:rFonts w:ascii="Arial" w:hAnsi="Arial" w:cs="Arial"/>
          <w:sz w:val="24"/>
          <w:szCs w:val="24"/>
        </w:rPr>
        <w:t xml:space="preserve"> se usa en combinación con otros tipos de terapia como cirugía, radiación, inmunoterapia y trasplante de células madre.</w:t>
      </w:r>
    </w:p>
    <w:p w:rsidR="0096486C" w:rsidRDefault="0096486C" w:rsidP="0096486C">
      <w:pPr>
        <w:pStyle w:val="Prrafodelista"/>
        <w:numPr>
          <w:ilvl w:val="0"/>
          <w:numId w:val="4"/>
        </w:numPr>
        <w:jc w:val="both"/>
        <w:rPr>
          <w:rFonts w:ascii="Arial" w:hAnsi="Arial" w:cs="Arial"/>
          <w:sz w:val="24"/>
          <w:szCs w:val="24"/>
        </w:rPr>
      </w:pPr>
      <w:r>
        <w:rPr>
          <w:rFonts w:ascii="Arial" w:hAnsi="Arial" w:cs="Arial"/>
          <w:sz w:val="24"/>
          <w:szCs w:val="24"/>
        </w:rPr>
        <w:t>La quimioterapia neoa</w:t>
      </w:r>
      <w:r w:rsidR="000B4C9A">
        <w:rPr>
          <w:rFonts w:ascii="Arial" w:hAnsi="Arial" w:cs="Arial"/>
          <w:sz w:val="24"/>
          <w:szCs w:val="24"/>
        </w:rPr>
        <w:t>dyuv</w:t>
      </w:r>
      <w:r>
        <w:rPr>
          <w:rFonts w:ascii="Arial" w:hAnsi="Arial" w:cs="Arial"/>
          <w:sz w:val="24"/>
          <w:szCs w:val="24"/>
        </w:rPr>
        <w:t>ante se usa para reducir el tamaño del tumor para que su</w:t>
      </w:r>
      <w:r w:rsidR="000B4C9A">
        <w:rPr>
          <w:rFonts w:ascii="Arial" w:hAnsi="Arial" w:cs="Arial"/>
          <w:sz w:val="24"/>
          <w:szCs w:val="24"/>
        </w:rPr>
        <w:t xml:space="preserve"> resección</w:t>
      </w:r>
      <w:r>
        <w:rPr>
          <w:rFonts w:ascii="Arial" w:hAnsi="Arial" w:cs="Arial"/>
          <w:sz w:val="24"/>
          <w:szCs w:val="24"/>
        </w:rPr>
        <w:t xml:space="preserve"> quirúrgica sea más accesible y para proporcionar terapia adicional </w:t>
      </w:r>
      <w:r w:rsidR="000B4C9A">
        <w:rPr>
          <w:rFonts w:ascii="Arial" w:hAnsi="Arial" w:cs="Arial"/>
          <w:sz w:val="24"/>
          <w:szCs w:val="24"/>
        </w:rPr>
        <w:t>para las micrometá</w:t>
      </w:r>
      <w:r>
        <w:rPr>
          <w:rFonts w:ascii="Arial" w:hAnsi="Arial" w:cs="Arial"/>
          <w:sz w:val="24"/>
          <w:szCs w:val="24"/>
        </w:rPr>
        <w:t>stasis.</w:t>
      </w:r>
    </w:p>
    <w:p w:rsidR="0096486C" w:rsidRDefault="0096486C" w:rsidP="0096486C">
      <w:pPr>
        <w:pStyle w:val="Prrafodelista"/>
        <w:numPr>
          <w:ilvl w:val="0"/>
          <w:numId w:val="4"/>
        </w:numPr>
        <w:jc w:val="both"/>
        <w:rPr>
          <w:rFonts w:ascii="Arial" w:hAnsi="Arial" w:cs="Arial"/>
          <w:sz w:val="24"/>
          <w:szCs w:val="24"/>
        </w:rPr>
      </w:pPr>
      <w:r>
        <w:rPr>
          <w:rFonts w:ascii="Arial" w:hAnsi="Arial" w:cs="Arial"/>
          <w:sz w:val="24"/>
          <w:szCs w:val="24"/>
        </w:rPr>
        <w:t xml:space="preserve">La quimioterapia adyuvante se usa en pacientes que se </w:t>
      </w:r>
      <w:r w:rsidR="000B4C9A">
        <w:rPr>
          <w:rFonts w:ascii="Arial" w:hAnsi="Arial" w:cs="Arial"/>
          <w:sz w:val="24"/>
          <w:szCs w:val="24"/>
        </w:rPr>
        <w:t>h</w:t>
      </w:r>
      <w:r>
        <w:rPr>
          <w:rFonts w:ascii="Arial" w:hAnsi="Arial" w:cs="Arial"/>
          <w:sz w:val="24"/>
          <w:szCs w:val="24"/>
        </w:rPr>
        <w:t xml:space="preserve">an sometido a cirugía o radioterapia para tumores malignos con un alto </w:t>
      </w:r>
      <w:r w:rsidR="000B4C9A">
        <w:rPr>
          <w:rFonts w:ascii="Arial" w:hAnsi="Arial" w:cs="Arial"/>
          <w:sz w:val="24"/>
          <w:szCs w:val="24"/>
        </w:rPr>
        <w:t>riesgo</w:t>
      </w:r>
      <w:r>
        <w:rPr>
          <w:rFonts w:ascii="Arial" w:hAnsi="Arial" w:cs="Arial"/>
          <w:sz w:val="24"/>
          <w:szCs w:val="24"/>
        </w:rPr>
        <w:t xml:space="preserve"> de enfermedad residual o metástasis sin detectar.</w:t>
      </w:r>
    </w:p>
    <w:p w:rsidR="0096486C" w:rsidRDefault="0096486C" w:rsidP="0096486C">
      <w:pPr>
        <w:pStyle w:val="Prrafodelista"/>
        <w:numPr>
          <w:ilvl w:val="0"/>
          <w:numId w:val="4"/>
        </w:numPr>
        <w:jc w:val="both"/>
        <w:rPr>
          <w:rFonts w:ascii="Arial" w:hAnsi="Arial" w:cs="Arial"/>
          <w:sz w:val="24"/>
          <w:szCs w:val="24"/>
        </w:rPr>
      </w:pPr>
      <w:r>
        <w:rPr>
          <w:rFonts w:ascii="Arial" w:hAnsi="Arial" w:cs="Arial"/>
          <w:sz w:val="24"/>
          <w:szCs w:val="24"/>
        </w:rPr>
        <w:t xml:space="preserve">La terapia santuario se usa para administrar un agente a un sitio que no es </w:t>
      </w:r>
      <w:r w:rsidR="000B4C9A">
        <w:rPr>
          <w:rFonts w:ascii="Arial" w:hAnsi="Arial" w:cs="Arial"/>
          <w:sz w:val="24"/>
          <w:szCs w:val="24"/>
        </w:rPr>
        <w:t>accesible</w:t>
      </w:r>
      <w:r>
        <w:rPr>
          <w:rFonts w:ascii="Arial" w:hAnsi="Arial" w:cs="Arial"/>
          <w:sz w:val="24"/>
          <w:szCs w:val="24"/>
        </w:rPr>
        <w:t xml:space="preserve"> a la terapia sistémica y del que se sabe que tiene un alto riesgo de </w:t>
      </w:r>
      <w:r w:rsidR="000B4C9A">
        <w:rPr>
          <w:rFonts w:ascii="Arial" w:hAnsi="Arial" w:cs="Arial"/>
          <w:sz w:val="24"/>
          <w:szCs w:val="24"/>
        </w:rPr>
        <w:t>diseminarse</w:t>
      </w:r>
      <w:r>
        <w:rPr>
          <w:rFonts w:ascii="Arial" w:hAnsi="Arial" w:cs="Arial"/>
          <w:sz w:val="24"/>
          <w:szCs w:val="24"/>
        </w:rPr>
        <w:t xml:space="preserve">. La barrera </w:t>
      </w:r>
      <w:r w:rsidR="000B4C9A">
        <w:rPr>
          <w:rFonts w:ascii="Arial" w:hAnsi="Arial" w:cs="Arial"/>
          <w:sz w:val="24"/>
          <w:szCs w:val="24"/>
        </w:rPr>
        <w:t>hematoencefá</w:t>
      </w:r>
      <w:r>
        <w:rPr>
          <w:rFonts w:ascii="Arial" w:hAnsi="Arial" w:cs="Arial"/>
          <w:sz w:val="24"/>
          <w:szCs w:val="24"/>
        </w:rPr>
        <w:t>lica es un ejemplo de un sitio santuario en pacientes con leucemia en el que se administra terapia intratecal para evitar o tratar enfermedades del sistema nervioso central (SNC)</w:t>
      </w:r>
      <w:r w:rsidR="000B4C9A">
        <w:rPr>
          <w:rFonts w:ascii="Arial" w:hAnsi="Arial" w:cs="Arial"/>
          <w:sz w:val="24"/>
          <w:szCs w:val="24"/>
        </w:rPr>
        <w:t>.</w:t>
      </w:r>
    </w:p>
    <w:p w:rsidR="000B4C9A" w:rsidRDefault="000B4C9A" w:rsidP="0096486C">
      <w:pPr>
        <w:pStyle w:val="Prrafodelista"/>
        <w:numPr>
          <w:ilvl w:val="0"/>
          <w:numId w:val="4"/>
        </w:numPr>
        <w:jc w:val="both"/>
        <w:rPr>
          <w:rFonts w:ascii="Arial" w:hAnsi="Arial" w:cs="Arial"/>
          <w:sz w:val="24"/>
          <w:szCs w:val="24"/>
        </w:rPr>
      </w:pPr>
      <w:r>
        <w:rPr>
          <w:rFonts w:ascii="Arial" w:hAnsi="Arial" w:cs="Arial"/>
          <w:sz w:val="24"/>
          <w:szCs w:val="24"/>
        </w:rPr>
        <w:t>La quimioterapia paliativa se usa en atención terminal cuando el objetivo no es la cura sino prolongar la vida y reducir el dolor y sufrimiento de forma simultánea. Varios agentes quimioterapéuticos son bien tolerados y se ha demostrado que tienen un efecto antitumoral y con toxicidad limitada. Un ejemplo seria el uso de un etopósido oral en paciente con un tumor cerebral.</w:t>
      </w:r>
    </w:p>
    <w:p w:rsidR="000B4C9A" w:rsidRDefault="000B4C9A" w:rsidP="000B4C9A">
      <w:pPr>
        <w:ind w:left="360"/>
        <w:jc w:val="both"/>
        <w:rPr>
          <w:rFonts w:ascii="Arial" w:hAnsi="Arial" w:cs="Arial"/>
          <w:sz w:val="24"/>
          <w:szCs w:val="24"/>
        </w:rPr>
      </w:pPr>
    </w:p>
    <w:p w:rsidR="00F8348E" w:rsidRDefault="00F8348E" w:rsidP="000B4C9A">
      <w:pPr>
        <w:ind w:left="360"/>
        <w:jc w:val="both"/>
        <w:rPr>
          <w:rFonts w:ascii="Arial" w:hAnsi="Arial" w:cs="Arial"/>
          <w:b/>
          <w:sz w:val="24"/>
          <w:szCs w:val="24"/>
        </w:rPr>
      </w:pPr>
    </w:p>
    <w:p w:rsidR="00F8348E" w:rsidRDefault="00F8348E" w:rsidP="000B4C9A">
      <w:pPr>
        <w:ind w:left="360"/>
        <w:jc w:val="both"/>
        <w:rPr>
          <w:rFonts w:ascii="Arial" w:hAnsi="Arial" w:cs="Arial"/>
          <w:b/>
          <w:sz w:val="24"/>
          <w:szCs w:val="24"/>
        </w:rPr>
      </w:pPr>
    </w:p>
    <w:p w:rsidR="00F8348E" w:rsidRDefault="00F8348E" w:rsidP="000B4C9A">
      <w:pPr>
        <w:ind w:left="360"/>
        <w:jc w:val="both"/>
        <w:rPr>
          <w:rFonts w:ascii="Arial" w:hAnsi="Arial" w:cs="Arial"/>
          <w:b/>
          <w:sz w:val="24"/>
          <w:szCs w:val="24"/>
        </w:rPr>
      </w:pPr>
    </w:p>
    <w:p w:rsidR="000B4C9A" w:rsidRDefault="004E23D8" w:rsidP="000B4C9A">
      <w:pPr>
        <w:ind w:left="360"/>
        <w:jc w:val="both"/>
        <w:rPr>
          <w:rFonts w:ascii="Arial" w:hAnsi="Arial" w:cs="Arial"/>
          <w:b/>
          <w:sz w:val="24"/>
          <w:szCs w:val="24"/>
        </w:rPr>
      </w:pPr>
      <w:r>
        <w:rPr>
          <w:rFonts w:ascii="Arial" w:hAnsi="Arial" w:cs="Arial"/>
          <w:b/>
          <w:sz w:val="24"/>
          <w:szCs w:val="24"/>
        </w:rPr>
        <w:lastRenderedPageBreak/>
        <w:t xml:space="preserve">MODO DE ADMINISTRACION </w:t>
      </w:r>
    </w:p>
    <w:p w:rsidR="004E23D8" w:rsidRPr="004E23D8" w:rsidRDefault="004E23D8" w:rsidP="000B4C9A">
      <w:pPr>
        <w:ind w:left="360"/>
        <w:jc w:val="both"/>
        <w:rPr>
          <w:rFonts w:ascii="Arial" w:hAnsi="Arial" w:cs="Arial"/>
          <w:b/>
          <w:sz w:val="24"/>
          <w:szCs w:val="24"/>
        </w:rPr>
      </w:pPr>
    </w:p>
    <w:p w:rsidR="00046479" w:rsidRDefault="00046479" w:rsidP="000B4C9A">
      <w:pPr>
        <w:ind w:left="360"/>
        <w:jc w:val="both"/>
        <w:rPr>
          <w:rFonts w:ascii="Arial" w:hAnsi="Arial" w:cs="Arial"/>
          <w:sz w:val="24"/>
          <w:szCs w:val="24"/>
        </w:rPr>
      </w:pPr>
      <w:r>
        <w:rPr>
          <w:rFonts w:ascii="Arial" w:hAnsi="Arial" w:cs="Arial"/>
          <w:sz w:val="24"/>
          <w:szCs w:val="24"/>
        </w:rPr>
        <w:t xml:space="preserve">La quimioterapia puede </w:t>
      </w:r>
      <w:r w:rsidR="00350863">
        <w:rPr>
          <w:rFonts w:ascii="Arial" w:hAnsi="Arial" w:cs="Arial"/>
          <w:sz w:val="24"/>
          <w:szCs w:val="24"/>
        </w:rPr>
        <w:t>administrarse</w:t>
      </w:r>
      <w:r>
        <w:rPr>
          <w:rFonts w:ascii="Arial" w:hAnsi="Arial" w:cs="Arial"/>
          <w:sz w:val="24"/>
          <w:szCs w:val="24"/>
        </w:rPr>
        <w:t xml:space="preserve"> de forma local o </w:t>
      </w:r>
      <w:r w:rsidR="00350863">
        <w:rPr>
          <w:rFonts w:ascii="Arial" w:hAnsi="Arial" w:cs="Arial"/>
          <w:sz w:val="24"/>
          <w:szCs w:val="24"/>
        </w:rPr>
        <w:t>sistemática</w:t>
      </w:r>
      <w:r>
        <w:rPr>
          <w:rFonts w:ascii="Arial" w:hAnsi="Arial" w:cs="Arial"/>
          <w:sz w:val="24"/>
          <w:szCs w:val="24"/>
        </w:rPr>
        <w:t xml:space="preserve"> en un intento de </w:t>
      </w:r>
      <w:r w:rsidR="00350863">
        <w:rPr>
          <w:rFonts w:ascii="Arial" w:hAnsi="Arial" w:cs="Arial"/>
          <w:sz w:val="24"/>
          <w:szCs w:val="24"/>
        </w:rPr>
        <w:t>optimizar</w:t>
      </w:r>
      <w:r>
        <w:rPr>
          <w:rFonts w:ascii="Arial" w:hAnsi="Arial" w:cs="Arial"/>
          <w:sz w:val="24"/>
          <w:szCs w:val="24"/>
        </w:rPr>
        <w:t xml:space="preserve"> la exposición de la dosis del sitio objetivo en el tumor, reducir al </w:t>
      </w:r>
      <w:r w:rsidR="00350863">
        <w:rPr>
          <w:rFonts w:ascii="Arial" w:hAnsi="Arial" w:cs="Arial"/>
          <w:sz w:val="24"/>
          <w:szCs w:val="24"/>
        </w:rPr>
        <w:t>mínimo</w:t>
      </w:r>
      <w:r>
        <w:rPr>
          <w:rFonts w:ascii="Arial" w:hAnsi="Arial" w:cs="Arial"/>
          <w:sz w:val="24"/>
          <w:szCs w:val="24"/>
        </w:rPr>
        <w:t xml:space="preserve"> las toxicidades generales y/o proteger los </w:t>
      </w:r>
      <w:r w:rsidR="00350863">
        <w:rPr>
          <w:rFonts w:ascii="Arial" w:hAnsi="Arial" w:cs="Arial"/>
          <w:sz w:val="24"/>
          <w:szCs w:val="24"/>
        </w:rPr>
        <w:t>sitios</w:t>
      </w:r>
      <w:r>
        <w:rPr>
          <w:rFonts w:ascii="Arial" w:hAnsi="Arial" w:cs="Arial"/>
          <w:sz w:val="24"/>
          <w:szCs w:val="24"/>
        </w:rPr>
        <w:t xml:space="preserve"> santuarios.</w:t>
      </w:r>
    </w:p>
    <w:p w:rsidR="00046479" w:rsidRDefault="00046479" w:rsidP="000B4C9A">
      <w:pPr>
        <w:ind w:left="360"/>
        <w:jc w:val="both"/>
        <w:rPr>
          <w:rFonts w:ascii="Arial" w:hAnsi="Arial" w:cs="Arial"/>
          <w:sz w:val="24"/>
          <w:szCs w:val="24"/>
        </w:rPr>
      </w:pPr>
      <w:r>
        <w:rPr>
          <w:rFonts w:ascii="Arial" w:hAnsi="Arial" w:cs="Arial"/>
          <w:sz w:val="24"/>
          <w:szCs w:val="24"/>
        </w:rPr>
        <w:t xml:space="preserve">Los agentes sistemáticos pueden administrarse por </w:t>
      </w:r>
      <w:r w:rsidR="00350863">
        <w:rPr>
          <w:rFonts w:ascii="Arial" w:hAnsi="Arial" w:cs="Arial"/>
          <w:sz w:val="24"/>
          <w:szCs w:val="24"/>
        </w:rPr>
        <w:t>vía</w:t>
      </w:r>
      <w:r>
        <w:rPr>
          <w:rFonts w:ascii="Arial" w:hAnsi="Arial" w:cs="Arial"/>
          <w:sz w:val="24"/>
          <w:szCs w:val="24"/>
        </w:rPr>
        <w:t xml:space="preserve"> oral, subcutánea, intramuscular, intramuscular o intravenosa. La quimioterapia intravenosa (IV) por lo general se administra a</w:t>
      </w:r>
      <w:r w:rsidR="00350863">
        <w:rPr>
          <w:rFonts w:ascii="Arial" w:hAnsi="Arial" w:cs="Arial"/>
          <w:sz w:val="24"/>
          <w:szCs w:val="24"/>
        </w:rPr>
        <w:t xml:space="preserve"> través</w:t>
      </w:r>
      <w:r>
        <w:rPr>
          <w:rFonts w:ascii="Arial" w:hAnsi="Arial" w:cs="Arial"/>
          <w:sz w:val="24"/>
          <w:szCs w:val="24"/>
        </w:rPr>
        <w:t xml:space="preserve"> de un acceso venoso central en los niños con cáncer y pueden administrarse como una IV en pulsos, IV en paralelo o como una infusión IV continua, cuya duración </w:t>
      </w:r>
      <w:r w:rsidR="00350863">
        <w:rPr>
          <w:rFonts w:ascii="Arial" w:hAnsi="Arial" w:cs="Arial"/>
          <w:sz w:val="24"/>
          <w:szCs w:val="24"/>
        </w:rPr>
        <w:t>varía</w:t>
      </w:r>
      <w:r>
        <w:rPr>
          <w:rFonts w:ascii="Arial" w:hAnsi="Arial" w:cs="Arial"/>
          <w:sz w:val="24"/>
          <w:szCs w:val="24"/>
        </w:rPr>
        <w:t xml:space="preserve"> desde horas hasta días. La terapia de </w:t>
      </w:r>
      <w:r w:rsidR="00350863">
        <w:rPr>
          <w:rFonts w:ascii="Arial" w:hAnsi="Arial" w:cs="Arial"/>
          <w:sz w:val="24"/>
          <w:szCs w:val="24"/>
        </w:rPr>
        <w:t>combinación</w:t>
      </w:r>
      <w:r>
        <w:rPr>
          <w:rFonts w:ascii="Arial" w:hAnsi="Arial" w:cs="Arial"/>
          <w:sz w:val="24"/>
          <w:szCs w:val="24"/>
        </w:rPr>
        <w:t xml:space="preserve"> que se usa en los </w:t>
      </w:r>
      <w:r w:rsidR="00350863">
        <w:rPr>
          <w:rFonts w:ascii="Arial" w:hAnsi="Arial" w:cs="Arial"/>
          <w:sz w:val="24"/>
          <w:szCs w:val="24"/>
        </w:rPr>
        <w:t>protocolos</w:t>
      </w:r>
      <w:r>
        <w:rPr>
          <w:rFonts w:ascii="Arial" w:hAnsi="Arial" w:cs="Arial"/>
          <w:sz w:val="24"/>
          <w:szCs w:val="24"/>
        </w:rPr>
        <w:t xml:space="preserve"> se cronometra para </w:t>
      </w:r>
      <w:r w:rsidR="00350863">
        <w:rPr>
          <w:rFonts w:ascii="Arial" w:hAnsi="Arial" w:cs="Arial"/>
          <w:sz w:val="24"/>
          <w:szCs w:val="24"/>
        </w:rPr>
        <w:t>optimizar</w:t>
      </w:r>
      <w:r>
        <w:rPr>
          <w:rFonts w:ascii="Arial" w:hAnsi="Arial" w:cs="Arial"/>
          <w:sz w:val="24"/>
          <w:szCs w:val="24"/>
        </w:rPr>
        <w:t xml:space="preserve"> los efectos de los agentes quimioterapéuticos que se están administrando.</w:t>
      </w:r>
    </w:p>
    <w:p w:rsidR="00046479" w:rsidRDefault="00046479" w:rsidP="000B4C9A">
      <w:pPr>
        <w:ind w:left="360"/>
        <w:jc w:val="both"/>
        <w:rPr>
          <w:rFonts w:ascii="Arial" w:hAnsi="Arial" w:cs="Arial"/>
          <w:sz w:val="24"/>
          <w:szCs w:val="24"/>
        </w:rPr>
      </w:pPr>
      <w:r>
        <w:rPr>
          <w:rFonts w:ascii="Arial" w:hAnsi="Arial" w:cs="Arial"/>
          <w:sz w:val="24"/>
          <w:szCs w:val="24"/>
        </w:rPr>
        <w:t>Los agentes que se administran de forma local o a veces se</w:t>
      </w:r>
      <w:r w:rsidR="00350863">
        <w:rPr>
          <w:rFonts w:ascii="Arial" w:hAnsi="Arial" w:cs="Arial"/>
          <w:sz w:val="24"/>
          <w:szCs w:val="24"/>
        </w:rPr>
        <w:t xml:space="preserve"> dirigen hacia el sistema orgánico afectado para mejorar el efecto antitumoral del fármaco. La quimioterapia puede administrarse: </w:t>
      </w:r>
    </w:p>
    <w:p w:rsidR="00350863" w:rsidRDefault="00350863" w:rsidP="00350863">
      <w:pPr>
        <w:pStyle w:val="Prrafodelista"/>
        <w:numPr>
          <w:ilvl w:val="0"/>
          <w:numId w:val="5"/>
        </w:numPr>
        <w:jc w:val="both"/>
        <w:rPr>
          <w:rFonts w:ascii="Arial" w:hAnsi="Arial" w:cs="Arial"/>
          <w:sz w:val="24"/>
          <w:szCs w:val="24"/>
        </w:rPr>
      </w:pPr>
      <w:r>
        <w:rPr>
          <w:rFonts w:ascii="Arial" w:hAnsi="Arial" w:cs="Arial"/>
          <w:sz w:val="24"/>
          <w:szCs w:val="24"/>
        </w:rPr>
        <w:t>De forma tópica en caso de canceres cutáneos.</w:t>
      </w:r>
    </w:p>
    <w:p w:rsidR="00350863" w:rsidRDefault="00350863" w:rsidP="00350863">
      <w:pPr>
        <w:pStyle w:val="Prrafodelista"/>
        <w:numPr>
          <w:ilvl w:val="0"/>
          <w:numId w:val="5"/>
        </w:numPr>
        <w:jc w:val="both"/>
        <w:rPr>
          <w:rFonts w:ascii="Arial" w:hAnsi="Arial" w:cs="Arial"/>
          <w:sz w:val="24"/>
          <w:szCs w:val="24"/>
        </w:rPr>
      </w:pPr>
      <w:r>
        <w:rPr>
          <w:rFonts w:ascii="Arial" w:hAnsi="Arial" w:cs="Arial"/>
          <w:sz w:val="24"/>
          <w:szCs w:val="24"/>
        </w:rPr>
        <w:t>A través de un dispositivo intraventricular (</w:t>
      </w:r>
      <w:r w:rsidR="004E23D8">
        <w:rPr>
          <w:rFonts w:ascii="Arial" w:hAnsi="Arial" w:cs="Arial"/>
          <w:sz w:val="24"/>
          <w:szCs w:val="24"/>
        </w:rPr>
        <w:t>depósito</w:t>
      </w:r>
      <w:r>
        <w:rPr>
          <w:rFonts w:ascii="Arial" w:hAnsi="Arial" w:cs="Arial"/>
          <w:sz w:val="24"/>
          <w:szCs w:val="24"/>
        </w:rPr>
        <w:t xml:space="preserve"> de Omaya) o por </w:t>
      </w:r>
      <w:r w:rsidR="004E23D8">
        <w:rPr>
          <w:rFonts w:ascii="Arial" w:hAnsi="Arial" w:cs="Arial"/>
          <w:sz w:val="24"/>
          <w:szCs w:val="24"/>
        </w:rPr>
        <w:t>vía</w:t>
      </w:r>
      <w:r>
        <w:rPr>
          <w:rFonts w:ascii="Arial" w:hAnsi="Arial" w:cs="Arial"/>
          <w:sz w:val="24"/>
          <w:szCs w:val="24"/>
        </w:rPr>
        <w:t xml:space="preserve"> intratecal (mediante </w:t>
      </w:r>
      <w:r w:rsidR="004E23D8">
        <w:rPr>
          <w:rFonts w:ascii="Arial" w:hAnsi="Arial" w:cs="Arial"/>
          <w:sz w:val="24"/>
          <w:szCs w:val="24"/>
        </w:rPr>
        <w:t>punción</w:t>
      </w:r>
      <w:r>
        <w:rPr>
          <w:rFonts w:ascii="Arial" w:hAnsi="Arial" w:cs="Arial"/>
          <w:sz w:val="24"/>
          <w:szCs w:val="24"/>
        </w:rPr>
        <w:t xml:space="preserve"> lumbar) para tratar canceres del sistema nervioso central.</w:t>
      </w:r>
    </w:p>
    <w:p w:rsidR="00350863" w:rsidRDefault="00350863" w:rsidP="00350863">
      <w:pPr>
        <w:pStyle w:val="Prrafodelista"/>
        <w:numPr>
          <w:ilvl w:val="0"/>
          <w:numId w:val="5"/>
        </w:numPr>
        <w:jc w:val="both"/>
        <w:rPr>
          <w:rFonts w:ascii="Arial" w:hAnsi="Arial" w:cs="Arial"/>
          <w:sz w:val="24"/>
          <w:szCs w:val="24"/>
        </w:rPr>
      </w:pPr>
      <w:r>
        <w:rPr>
          <w:rFonts w:ascii="Arial" w:hAnsi="Arial" w:cs="Arial"/>
          <w:sz w:val="24"/>
          <w:szCs w:val="24"/>
        </w:rPr>
        <w:t>A través de un tubo en el pecho y hacia la cavidad pleural para evitar la reincidencia de derrames pleurales.</w:t>
      </w:r>
    </w:p>
    <w:p w:rsidR="00350863" w:rsidRDefault="00350863" w:rsidP="00350863">
      <w:pPr>
        <w:pStyle w:val="Prrafodelista"/>
        <w:numPr>
          <w:ilvl w:val="0"/>
          <w:numId w:val="5"/>
        </w:numPr>
        <w:jc w:val="both"/>
        <w:rPr>
          <w:rFonts w:ascii="Arial" w:hAnsi="Arial" w:cs="Arial"/>
          <w:sz w:val="24"/>
          <w:szCs w:val="24"/>
        </w:rPr>
      </w:pPr>
      <w:r>
        <w:rPr>
          <w:rFonts w:ascii="Arial" w:hAnsi="Arial" w:cs="Arial"/>
          <w:sz w:val="24"/>
          <w:szCs w:val="24"/>
        </w:rPr>
        <w:t>Directamente en la cavidad peritoneal a través de un catéter o puerto para tratar canceres intraabdominales de forma intrahepática.</w:t>
      </w:r>
    </w:p>
    <w:p w:rsidR="00350863" w:rsidRDefault="00350863" w:rsidP="00350863">
      <w:pPr>
        <w:pStyle w:val="Prrafodelista"/>
        <w:numPr>
          <w:ilvl w:val="0"/>
          <w:numId w:val="5"/>
        </w:numPr>
        <w:jc w:val="both"/>
        <w:rPr>
          <w:rFonts w:ascii="Arial" w:hAnsi="Arial" w:cs="Arial"/>
          <w:sz w:val="24"/>
          <w:szCs w:val="24"/>
        </w:rPr>
      </w:pPr>
      <w:r>
        <w:rPr>
          <w:rFonts w:ascii="Arial" w:hAnsi="Arial" w:cs="Arial"/>
          <w:sz w:val="24"/>
          <w:szCs w:val="24"/>
        </w:rPr>
        <w:t>A través de un puerto o bomba para tratar metástasis hepáticas.</w:t>
      </w:r>
    </w:p>
    <w:p w:rsidR="00350863" w:rsidRDefault="00350863" w:rsidP="00350863">
      <w:pPr>
        <w:pStyle w:val="Prrafodelista"/>
        <w:numPr>
          <w:ilvl w:val="0"/>
          <w:numId w:val="5"/>
        </w:numPr>
        <w:jc w:val="both"/>
        <w:rPr>
          <w:rFonts w:ascii="Arial" w:hAnsi="Arial" w:cs="Arial"/>
          <w:sz w:val="24"/>
          <w:szCs w:val="24"/>
        </w:rPr>
      </w:pPr>
      <w:r>
        <w:rPr>
          <w:rFonts w:ascii="Arial" w:hAnsi="Arial" w:cs="Arial"/>
          <w:sz w:val="24"/>
          <w:szCs w:val="24"/>
        </w:rPr>
        <w:t>A través de un catéter intraarterial a sitios específicos como un osteosarcoma</w:t>
      </w:r>
      <w:r w:rsidR="004E23D8">
        <w:rPr>
          <w:rFonts w:ascii="Arial" w:hAnsi="Arial" w:cs="Arial"/>
          <w:sz w:val="24"/>
          <w:szCs w:val="24"/>
        </w:rPr>
        <w:t>.</w:t>
      </w:r>
    </w:p>
    <w:p w:rsidR="004E23D8" w:rsidRPr="00350863" w:rsidRDefault="004E23D8" w:rsidP="00350863">
      <w:pPr>
        <w:pStyle w:val="Prrafodelista"/>
        <w:numPr>
          <w:ilvl w:val="0"/>
          <w:numId w:val="5"/>
        </w:numPr>
        <w:jc w:val="both"/>
        <w:rPr>
          <w:rFonts w:ascii="Arial" w:hAnsi="Arial" w:cs="Arial"/>
          <w:sz w:val="24"/>
          <w:szCs w:val="24"/>
        </w:rPr>
      </w:pPr>
      <w:r>
        <w:rPr>
          <w:rFonts w:ascii="Arial" w:hAnsi="Arial" w:cs="Arial"/>
          <w:sz w:val="24"/>
          <w:szCs w:val="24"/>
        </w:rPr>
        <w:t>A través de un catéter en la vejiga (intravesical) para canceres en la vejiga.</w:t>
      </w:r>
    </w:p>
    <w:p w:rsidR="0096486C" w:rsidRDefault="0096486C" w:rsidP="0096486C">
      <w:pPr>
        <w:jc w:val="both"/>
        <w:rPr>
          <w:rFonts w:ascii="Arial" w:hAnsi="Arial" w:cs="Arial"/>
          <w:sz w:val="24"/>
          <w:szCs w:val="24"/>
        </w:rPr>
      </w:pPr>
    </w:p>
    <w:p w:rsidR="00007480" w:rsidRDefault="00007480" w:rsidP="0096486C">
      <w:pPr>
        <w:jc w:val="both"/>
        <w:rPr>
          <w:rFonts w:ascii="Arial" w:hAnsi="Arial" w:cs="Arial"/>
          <w:sz w:val="24"/>
          <w:szCs w:val="24"/>
        </w:rPr>
      </w:pPr>
    </w:p>
    <w:p w:rsidR="00007480" w:rsidRPr="00F8348E" w:rsidRDefault="00007480" w:rsidP="0096486C">
      <w:pPr>
        <w:jc w:val="both"/>
        <w:rPr>
          <w:rFonts w:ascii="Arial" w:hAnsi="Arial" w:cs="Arial"/>
          <w:b/>
          <w:sz w:val="24"/>
          <w:szCs w:val="24"/>
        </w:rPr>
      </w:pPr>
      <w:r w:rsidRPr="00F8348E">
        <w:rPr>
          <w:rFonts w:ascii="Arial" w:hAnsi="Arial" w:cs="Arial"/>
          <w:b/>
          <w:sz w:val="24"/>
          <w:szCs w:val="24"/>
        </w:rPr>
        <w:lastRenderedPageBreak/>
        <w:t>QUIMIOTERAPIA: AGENTES Y CLASIFICACIONES</w:t>
      </w:r>
    </w:p>
    <w:p w:rsidR="00007480" w:rsidRDefault="00007480" w:rsidP="0096486C">
      <w:pPr>
        <w:jc w:val="both"/>
        <w:rPr>
          <w:rFonts w:ascii="Arial" w:hAnsi="Arial" w:cs="Arial"/>
          <w:sz w:val="24"/>
          <w:szCs w:val="24"/>
        </w:rPr>
      </w:pPr>
      <w:r>
        <w:rPr>
          <w:rFonts w:ascii="Arial" w:hAnsi="Arial" w:cs="Arial"/>
          <w:sz w:val="24"/>
          <w:szCs w:val="24"/>
        </w:rPr>
        <w:t>Hay muchos fármacos nuevos disponibles para el tratamiento de diferentes</w:t>
      </w:r>
      <w:r w:rsidR="00767DF6">
        <w:rPr>
          <w:rFonts w:ascii="Arial" w:hAnsi="Arial" w:cs="Arial"/>
          <w:sz w:val="24"/>
          <w:szCs w:val="24"/>
        </w:rPr>
        <w:t xml:space="preserve"> tipos de cáncer, y estos agentes encajan en moléculas altamente innovadoras y de clases distintas que describen sus mecanismos de acción y estructura clínica. El entendimiento emergente de la relación entre el estudio de la farmacocinética y la farmacodinámica ha abierto la puerta  a estudios más profundos de la forma en que los agentes quimioterapéuticos afectan a las células cancerosas y al cuerpo. Hoy en </w:t>
      </w:r>
      <w:r w:rsidR="00CD34AC">
        <w:rPr>
          <w:rFonts w:ascii="Arial" w:hAnsi="Arial" w:cs="Arial"/>
          <w:sz w:val="24"/>
          <w:szCs w:val="24"/>
        </w:rPr>
        <w:t>día</w:t>
      </w:r>
      <w:r w:rsidR="00767DF6">
        <w:rPr>
          <w:rFonts w:ascii="Arial" w:hAnsi="Arial" w:cs="Arial"/>
          <w:sz w:val="24"/>
          <w:szCs w:val="24"/>
        </w:rPr>
        <w:t xml:space="preserve"> los agentes se clasifican en agentes citotóxicos convencionales y agentes dirigidos contra blancos moleculares.</w:t>
      </w:r>
    </w:p>
    <w:p w:rsidR="00767DF6" w:rsidRDefault="00767DF6" w:rsidP="0096486C">
      <w:pPr>
        <w:jc w:val="both"/>
        <w:rPr>
          <w:rFonts w:ascii="Arial" w:hAnsi="Arial" w:cs="Arial"/>
          <w:sz w:val="24"/>
          <w:szCs w:val="24"/>
        </w:rPr>
      </w:pPr>
      <w:r>
        <w:rPr>
          <w:rFonts w:ascii="Arial" w:hAnsi="Arial" w:cs="Arial"/>
          <w:sz w:val="24"/>
          <w:szCs w:val="24"/>
        </w:rPr>
        <w:t xml:space="preserve">Los agentes </w:t>
      </w:r>
      <w:r w:rsidR="00CD34AC">
        <w:rPr>
          <w:rFonts w:ascii="Arial" w:hAnsi="Arial" w:cs="Arial"/>
          <w:sz w:val="24"/>
          <w:szCs w:val="24"/>
        </w:rPr>
        <w:t>quimioterapéuticos</w:t>
      </w:r>
      <w:r>
        <w:rPr>
          <w:rFonts w:ascii="Arial" w:hAnsi="Arial" w:cs="Arial"/>
          <w:sz w:val="24"/>
          <w:szCs w:val="24"/>
        </w:rPr>
        <w:t xml:space="preserve"> convencionales se clasifican de acuerdo con su estructura química, su fuente biológica y/o su efecto en el ciclo celular. Los efectos en el ciclo celular (fase) se categorizan como específicos </w:t>
      </w:r>
      <w:r w:rsidR="00C26E98">
        <w:rPr>
          <w:rFonts w:ascii="Arial" w:hAnsi="Arial" w:cs="Arial"/>
          <w:sz w:val="24"/>
          <w:szCs w:val="24"/>
        </w:rPr>
        <w:t>del ciclo celular y no especifico del ciclo celular. La clasificación se determina, en parte, por las siguientes acciones:</w:t>
      </w:r>
    </w:p>
    <w:p w:rsidR="00C26E98" w:rsidRDefault="00C26E98" w:rsidP="0096486C">
      <w:pPr>
        <w:jc w:val="both"/>
        <w:rPr>
          <w:rFonts w:ascii="Arial" w:hAnsi="Arial" w:cs="Arial"/>
          <w:sz w:val="24"/>
          <w:szCs w:val="24"/>
        </w:rPr>
      </w:pPr>
      <w:r>
        <w:rPr>
          <w:rFonts w:ascii="Arial" w:hAnsi="Arial" w:cs="Arial"/>
          <w:sz w:val="24"/>
          <w:szCs w:val="24"/>
        </w:rPr>
        <w:t xml:space="preserve">1. los agentes específicos del ciclo celular ejercen un efecto durante una fase específica del ciclo celular, y tiene su efecto máximo en las células de división rápida. </w:t>
      </w:r>
    </w:p>
    <w:p w:rsidR="00C26E98" w:rsidRDefault="00C26E98" w:rsidP="0096486C">
      <w:pPr>
        <w:jc w:val="both"/>
        <w:rPr>
          <w:rFonts w:ascii="Arial" w:hAnsi="Arial" w:cs="Arial"/>
          <w:sz w:val="24"/>
          <w:szCs w:val="24"/>
        </w:rPr>
      </w:pPr>
      <w:r>
        <w:rPr>
          <w:rFonts w:ascii="Arial" w:hAnsi="Arial" w:cs="Arial"/>
          <w:sz w:val="24"/>
          <w:szCs w:val="24"/>
        </w:rPr>
        <w:t>2. los agentes no específicos del ciclo celular actúan en las células independientes de la fase en la que estén. Estos agentes son dependientes de la dosis: el grado de células muertas es directamente proporcional a la dosis administrada. Son eficaces en células cancerosas del crecimiento lento porque son citotóxicos incluso para células en fase de reposo.</w:t>
      </w:r>
    </w:p>
    <w:p w:rsidR="00C26E98" w:rsidRDefault="00C26E98" w:rsidP="0096486C">
      <w:pPr>
        <w:jc w:val="both"/>
        <w:rPr>
          <w:rFonts w:ascii="Arial" w:hAnsi="Arial" w:cs="Arial"/>
          <w:sz w:val="24"/>
          <w:szCs w:val="24"/>
        </w:rPr>
      </w:pPr>
      <w:r>
        <w:rPr>
          <w:rFonts w:ascii="Arial" w:hAnsi="Arial" w:cs="Arial"/>
          <w:sz w:val="24"/>
          <w:szCs w:val="24"/>
        </w:rPr>
        <w:t xml:space="preserve">En la tabla 1 se enumera los agentes quimioterapéuticos </w:t>
      </w:r>
      <w:r w:rsidR="00C75972">
        <w:rPr>
          <w:rFonts w:ascii="Arial" w:hAnsi="Arial" w:cs="Arial"/>
          <w:sz w:val="24"/>
          <w:szCs w:val="24"/>
        </w:rPr>
        <w:t>más</w:t>
      </w:r>
      <w:r>
        <w:rPr>
          <w:rFonts w:ascii="Arial" w:hAnsi="Arial" w:cs="Arial"/>
          <w:sz w:val="24"/>
          <w:szCs w:val="24"/>
        </w:rPr>
        <w:t xml:space="preserve"> comunes, en orden </w:t>
      </w:r>
      <w:r w:rsidR="00C75972">
        <w:rPr>
          <w:rFonts w:ascii="Arial" w:hAnsi="Arial" w:cs="Arial"/>
          <w:sz w:val="24"/>
          <w:szCs w:val="24"/>
        </w:rPr>
        <w:t>alfabético</w:t>
      </w:r>
      <w:r>
        <w:rPr>
          <w:rFonts w:ascii="Arial" w:hAnsi="Arial" w:cs="Arial"/>
          <w:sz w:val="24"/>
          <w:szCs w:val="24"/>
        </w:rPr>
        <w:t xml:space="preserve"> por su nombre genérico. </w:t>
      </w:r>
      <w:r w:rsidR="00C75972">
        <w:rPr>
          <w:rFonts w:ascii="Arial" w:hAnsi="Arial" w:cs="Arial"/>
          <w:sz w:val="24"/>
          <w:szCs w:val="24"/>
        </w:rPr>
        <w:t xml:space="preserve">También aparecen los nombres comerciales de cada fármaco. Se recomienda que los profesionales de la salud usen los nombres genéricos de los fármacos siempre que sea posible para evitar confusiones con agentes que pueden tener nombres que suenan igual y que se parecen. En esta tabla también se describen los agentes y se enumeran la categoría de clasificación (en algunos casos, los agentes quimioterapéuticos tienen más de una clasificación), la vía de administración, los posibles efectos secundarios, las consideraciones especiales y acciones de enfermería especiales. No se incluyen las acciones de enfermería para la administración rutinaria de quimioterapia (p. ej., monitorear las náuseas y el vómito) para cada agente. En la tabla 2 se resumen algunos fármacos de apoyo </w:t>
      </w:r>
      <w:r w:rsidR="001E4347">
        <w:rPr>
          <w:rFonts w:ascii="Arial" w:hAnsi="Arial" w:cs="Arial"/>
          <w:sz w:val="24"/>
          <w:szCs w:val="24"/>
        </w:rPr>
        <w:t>que se usan mientras los pacientes se someten a tratamientos de quimioterapia.</w:t>
      </w:r>
    </w:p>
    <w:p w:rsidR="001E4347" w:rsidRPr="00F8348E" w:rsidRDefault="001E4347" w:rsidP="0096486C">
      <w:pPr>
        <w:jc w:val="both"/>
        <w:rPr>
          <w:rFonts w:ascii="Arial" w:hAnsi="Arial" w:cs="Arial"/>
          <w:b/>
          <w:sz w:val="24"/>
          <w:szCs w:val="24"/>
        </w:rPr>
      </w:pPr>
      <w:r w:rsidRPr="00F8348E">
        <w:rPr>
          <w:rFonts w:ascii="Arial" w:hAnsi="Arial" w:cs="Arial"/>
          <w:b/>
          <w:sz w:val="24"/>
          <w:szCs w:val="24"/>
        </w:rPr>
        <w:lastRenderedPageBreak/>
        <w:t>Agente alcalinizantes</w:t>
      </w:r>
    </w:p>
    <w:p w:rsidR="001E4347" w:rsidRDefault="001E4347" w:rsidP="0096486C">
      <w:pPr>
        <w:jc w:val="both"/>
        <w:rPr>
          <w:rFonts w:ascii="Arial" w:hAnsi="Arial" w:cs="Arial"/>
          <w:sz w:val="24"/>
          <w:szCs w:val="24"/>
        </w:rPr>
      </w:pPr>
      <w:r>
        <w:rPr>
          <w:rFonts w:ascii="Arial" w:hAnsi="Arial" w:cs="Arial"/>
          <w:sz w:val="24"/>
          <w:szCs w:val="24"/>
        </w:rPr>
        <w:t xml:space="preserve">Los agentes alcalinizantes ejercen su mayor acción contra células cancerosas en fase </w:t>
      </w:r>
      <w:proofErr w:type="spellStart"/>
      <w:r>
        <w:rPr>
          <w:rFonts w:ascii="Arial" w:hAnsi="Arial" w:cs="Arial"/>
          <w:sz w:val="24"/>
          <w:szCs w:val="24"/>
        </w:rPr>
        <w:t>Go</w:t>
      </w:r>
      <w:proofErr w:type="spellEnd"/>
      <w:r>
        <w:rPr>
          <w:rFonts w:ascii="Arial" w:hAnsi="Arial" w:cs="Arial"/>
          <w:sz w:val="24"/>
          <w:szCs w:val="24"/>
        </w:rPr>
        <w:t xml:space="preserve"> (es decir, de reposo) pero son considerados como no específicos del ciclo celular. Estos agentes causan rupturas en las cadenas del ácido desoxirribonucleico (ADN), lo cual resulta en la interferencia de la replicación y la transcripción. A la larga, esta acción causa citotoxicidad y mutagenicidad en las células cancerosas y, potencialmente, en las células normales.</w:t>
      </w:r>
    </w:p>
    <w:p w:rsidR="001E4347" w:rsidRPr="00F8348E" w:rsidRDefault="001E4347" w:rsidP="0096486C">
      <w:pPr>
        <w:jc w:val="both"/>
        <w:rPr>
          <w:rFonts w:ascii="Arial" w:hAnsi="Arial" w:cs="Arial"/>
          <w:b/>
          <w:sz w:val="24"/>
          <w:szCs w:val="24"/>
        </w:rPr>
      </w:pPr>
      <w:r w:rsidRPr="00F8348E">
        <w:rPr>
          <w:rFonts w:ascii="Arial" w:hAnsi="Arial" w:cs="Arial"/>
          <w:b/>
          <w:sz w:val="24"/>
          <w:szCs w:val="24"/>
        </w:rPr>
        <w:t>Antimetabolitos</w:t>
      </w:r>
    </w:p>
    <w:p w:rsidR="001E4347" w:rsidRDefault="001E4347" w:rsidP="0096486C">
      <w:pPr>
        <w:jc w:val="both"/>
        <w:rPr>
          <w:rFonts w:ascii="Arial" w:hAnsi="Arial" w:cs="Arial"/>
          <w:sz w:val="24"/>
          <w:szCs w:val="24"/>
        </w:rPr>
      </w:pPr>
      <w:r>
        <w:rPr>
          <w:rFonts w:ascii="Arial" w:hAnsi="Arial" w:cs="Arial"/>
          <w:sz w:val="24"/>
          <w:szCs w:val="24"/>
        </w:rPr>
        <w:t>Los antimetabolitos son agentes que son estructuralmente similares (análogos) a los metabolitos celulares normales que se necesitan para la función celular y la replicación. Estos interfieren con el metabolismo celular normal, interactuando directamente</w:t>
      </w:r>
      <w:r w:rsidR="009A507B">
        <w:rPr>
          <w:rFonts w:ascii="Arial" w:hAnsi="Arial" w:cs="Arial"/>
          <w:sz w:val="24"/>
          <w:szCs w:val="24"/>
        </w:rPr>
        <w:t xml:space="preserve"> con enzimas especificas ya sea al inhibir la producción de la enzima o al generar un producto final no funcional. Los procesos celulares que dependen de la enzima o producto final quedan bloqueados, lo cual causa la interrupción en la síntesis de proteína, ácido ribonucleico (ARN) o ADN dentro de la célula. </w:t>
      </w:r>
    </w:p>
    <w:p w:rsidR="009A507B" w:rsidRPr="00F8348E" w:rsidRDefault="009A507B" w:rsidP="0096486C">
      <w:pPr>
        <w:jc w:val="both"/>
        <w:rPr>
          <w:rFonts w:ascii="Arial" w:hAnsi="Arial" w:cs="Arial"/>
          <w:b/>
          <w:sz w:val="24"/>
          <w:szCs w:val="24"/>
        </w:rPr>
      </w:pPr>
      <w:r w:rsidRPr="00F8348E">
        <w:rPr>
          <w:rFonts w:ascii="Arial" w:hAnsi="Arial" w:cs="Arial"/>
          <w:b/>
          <w:sz w:val="24"/>
          <w:szCs w:val="24"/>
        </w:rPr>
        <w:t>Antraciclinas</w:t>
      </w:r>
    </w:p>
    <w:p w:rsidR="009A507B" w:rsidRDefault="009A507B" w:rsidP="0096486C">
      <w:pPr>
        <w:jc w:val="both"/>
        <w:rPr>
          <w:rFonts w:ascii="Arial" w:hAnsi="Arial" w:cs="Arial"/>
          <w:sz w:val="24"/>
          <w:szCs w:val="24"/>
        </w:rPr>
      </w:pPr>
      <w:r>
        <w:rPr>
          <w:rFonts w:ascii="Arial" w:hAnsi="Arial" w:cs="Arial"/>
          <w:sz w:val="24"/>
          <w:szCs w:val="24"/>
        </w:rPr>
        <w:t xml:space="preserve">Las antraciclinas son un grupo de compuestos altamente coloreados conocidos como rodomicinas que incluye a la daunorrubicina, doxorrubicina y la idarrubicina, y </w:t>
      </w:r>
      <w:r w:rsidR="00CE7931">
        <w:rPr>
          <w:rFonts w:ascii="Arial" w:hAnsi="Arial" w:cs="Arial"/>
          <w:sz w:val="24"/>
          <w:szCs w:val="24"/>
        </w:rPr>
        <w:t>también</w:t>
      </w:r>
      <w:r>
        <w:rPr>
          <w:rFonts w:ascii="Arial" w:hAnsi="Arial" w:cs="Arial"/>
          <w:sz w:val="24"/>
          <w:szCs w:val="24"/>
        </w:rPr>
        <w:t xml:space="preserve"> a un compuesto llamado mitoxantrona. Su mecanismo de acción incluye la intercalación o unión covalente de ADN y la subsiguiente formación de radicales libres. Además, inhiben la topoisomerasa II</w:t>
      </w:r>
      <w:r w:rsidR="00CE7931">
        <w:rPr>
          <w:rFonts w:ascii="Arial" w:hAnsi="Arial" w:cs="Arial"/>
          <w:sz w:val="24"/>
          <w:szCs w:val="24"/>
        </w:rPr>
        <w:t>, una enzima que permite que las cadenas largas de ADN se atraviesen entre sí conforme se desenredan. Las antraciclinas interfieren con esta actividad al prevenir que se unan las cadenas clivadas de ADN.</w:t>
      </w:r>
    </w:p>
    <w:p w:rsidR="00876F8E" w:rsidRDefault="00CE7931" w:rsidP="0096486C">
      <w:pPr>
        <w:jc w:val="both"/>
        <w:rPr>
          <w:rFonts w:ascii="Arial" w:hAnsi="Arial" w:cs="Arial"/>
          <w:sz w:val="24"/>
          <w:szCs w:val="24"/>
        </w:rPr>
      </w:pPr>
      <w:r>
        <w:rPr>
          <w:rFonts w:ascii="Arial" w:hAnsi="Arial" w:cs="Arial"/>
          <w:sz w:val="24"/>
          <w:szCs w:val="24"/>
        </w:rPr>
        <w:t xml:space="preserve">La formación de radicales libres y la inhibición de la topoisomerasa II son responsables de la mayor parte de la toxicidad de estos agentes. </w:t>
      </w:r>
      <w:r w:rsidR="00876F8E">
        <w:rPr>
          <w:rFonts w:ascii="Arial" w:hAnsi="Arial" w:cs="Arial"/>
          <w:sz w:val="24"/>
          <w:szCs w:val="24"/>
        </w:rPr>
        <w:t>Los radicales de oxígeno son generados por las antraciclinas y convertidos en peróxido de hidrógeno y finalmente en un radical hidroxilo. El radical hidroxilo ataca al ADN y a los lípidos de la membrana celular. Aunque la mayoría de los tejidos normales y células tumorales poseen enzimas para eliminar el peróxido de hidrógeno, las células de músculo cardiaco carecen de esta enzima, lo cual resulta en daño selectivo al tejido cardíaco por las antraciclinas. Por esta razón pueden utilizarse cardioprotectores con la administración de antraciclinas.</w:t>
      </w:r>
    </w:p>
    <w:p w:rsidR="00876F8E" w:rsidRDefault="00876F8E" w:rsidP="0096486C">
      <w:pPr>
        <w:jc w:val="both"/>
        <w:rPr>
          <w:rFonts w:ascii="Arial" w:hAnsi="Arial" w:cs="Arial"/>
          <w:sz w:val="24"/>
          <w:szCs w:val="24"/>
        </w:rPr>
      </w:pPr>
      <w:r>
        <w:rPr>
          <w:rFonts w:ascii="Arial" w:hAnsi="Arial" w:cs="Arial"/>
          <w:sz w:val="24"/>
          <w:szCs w:val="24"/>
        </w:rPr>
        <w:lastRenderedPageBreak/>
        <w:t xml:space="preserve">Los antibióticos son una subclase de las </w:t>
      </w:r>
      <w:r w:rsidR="00CD34AC">
        <w:rPr>
          <w:rFonts w:ascii="Arial" w:hAnsi="Arial" w:cs="Arial"/>
          <w:sz w:val="24"/>
          <w:szCs w:val="24"/>
        </w:rPr>
        <w:t>antraciclinas. Estos son agentes naturales que son sintetizados por diversas especies de bacterias y hongos. Interfieren con el metabolismo celular a través de numerosos mecanismos de acción. Generalmente, estos agentes forman complejos relativamente estables con el ADN, inhibiendo la síntesis de ADN o de ARN, o de ambos.</w:t>
      </w:r>
    </w:p>
    <w:p w:rsidR="00CD34AC" w:rsidRPr="00F8348E" w:rsidRDefault="00CD34AC" w:rsidP="0096486C">
      <w:pPr>
        <w:jc w:val="both"/>
        <w:rPr>
          <w:rFonts w:ascii="Arial" w:hAnsi="Arial" w:cs="Arial"/>
          <w:b/>
          <w:sz w:val="24"/>
          <w:szCs w:val="24"/>
        </w:rPr>
      </w:pPr>
      <w:r w:rsidRPr="00F8348E">
        <w:rPr>
          <w:rFonts w:ascii="Arial" w:hAnsi="Arial" w:cs="Arial"/>
          <w:b/>
          <w:sz w:val="24"/>
          <w:szCs w:val="24"/>
        </w:rPr>
        <w:t>Derivados vegetales</w:t>
      </w:r>
    </w:p>
    <w:p w:rsidR="00CD34AC" w:rsidRDefault="00CD34AC" w:rsidP="0096486C">
      <w:pPr>
        <w:jc w:val="both"/>
        <w:rPr>
          <w:rFonts w:ascii="Arial" w:hAnsi="Arial" w:cs="Arial"/>
          <w:sz w:val="24"/>
          <w:szCs w:val="24"/>
        </w:rPr>
      </w:pPr>
      <w:r>
        <w:rPr>
          <w:rFonts w:ascii="Arial" w:hAnsi="Arial" w:cs="Arial"/>
          <w:sz w:val="24"/>
          <w:szCs w:val="24"/>
        </w:rPr>
        <w:t xml:space="preserve">Los derivados vegetales son fármacos que se </w:t>
      </w:r>
      <w:r w:rsidR="007719C5">
        <w:rPr>
          <w:rFonts w:ascii="Arial" w:hAnsi="Arial" w:cs="Arial"/>
          <w:sz w:val="24"/>
          <w:szCs w:val="24"/>
        </w:rPr>
        <w:t xml:space="preserve">derivan de materiales vegetales naturales o que se fabrican a partir de compuestos originalmente extraídos de plantas. Los alcaloides de la vinca son una clase de derivado vegetal que incluye a vincristina, vinblastina, vinorelbina y vindesina. Estos agentes son conocidos como agentes interactivos con tubulina. Interfieren con la formación y función normal de los microtúbulos, lo cual causa la interrupción de la mitosis. Los alcaloides de la vinca pueden tener algún efecto en las células que están en las fases </w:t>
      </w:r>
      <w:proofErr w:type="spellStart"/>
      <w:r w:rsidR="007719C5">
        <w:rPr>
          <w:rFonts w:ascii="Arial" w:hAnsi="Arial" w:cs="Arial"/>
          <w:sz w:val="24"/>
          <w:szCs w:val="24"/>
        </w:rPr>
        <w:t>Go</w:t>
      </w:r>
      <w:proofErr w:type="spellEnd"/>
      <w:r w:rsidR="007719C5">
        <w:rPr>
          <w:rFonts w:ascii="Arial" w:hAnsi="Arial" w:cs="Arial"/>
          <w:sz w:val="24"/>
          <w:szCs w:val="24"/>
        </w:rPr>
        <w:t xml:space="preserve"> G1 y S.</w:t>
      </w:r>
    </w:p>
    <w:p w:rsidR="00E60A0E" w:rsidRDefault="007719C5" w:rsidP="0096486C">
      <w:pPr>
        <w:jc w:val="both"/>
        <w:rPr>
          <w:rFonts w:ascii="Arial" w:hAnsi="Arial" w:cs="Arial"/>
          <w:sz w:val="24"/>
          <w:szCs w:val="24"/>
        </w:rPr>
      </w:pPr>
      <w:r>
        <w:rPr>
          <w:rFonts w:ascii="Arial" w:hAnsi="Arial" w:cs="Arial"/>
          <w:sz w:val="24"/>
          <w:szCs w:val="24"/>
        </w:rPr>
        <w:t xml:space="preserve">Los taxanos son </w:t>
      </w:r>
      <w:r w:rsidR="00E60A0E">
        <w:rPr>
          <w:rFonts w:ascii="Arial" w:hAnsi="Arial" w:cs="Arial"/>
          <w:sz w:val="24"/>
          <w:szCs w:val="24"/>
        </w:rPr>
        <w:t xml:space="preserve">derivados vegetales que se unen a los microtúbulos e inhiben el desensamblaje microtubular que es necesario para completar la mitosis y el funcionamiento celular normal. Las epipodofilotóxinas etopósido y tenipósido son derivados vegetales que se cree que inhiben a la topoisomerasa II y producen rupturas en las cadenas de ADN. Parecen ejercer sus efectos en la fase S </w:t>
      </w:r>
      <w:r w:rsidR="00DF33A7">
        <w:rPr>
          <w:rFonts w:ascii="Arial" w:hAnsi="Arial" w:cs="Arial"/>
          <w:sz w:val="24"/>
          <w:szCs w:val="24"/>
        </w:rPr>
        <w:t>tardía</w:t>
      </w:r>
      <w:r w:rsidR="00E60A0E">
        <w:rPr>
          <w:rFonts w:ascii="Arial" w:hAnsi="Arial" w:cs="Arial"/>
          <w:sz w:val="24"/>
          <w:szCs w:val="24"/>
        </w:rPr>
        <w:t xml:space="preserve"> y en las fases iniciales del ciclo celular. </w:t>
      </w:r>
    </w:p>
    <w:p w:rsidR="00F0138E" w:rsidRDefault="00E60A0E" w:rsidP="0096486C">
      <w:pPr>
        <w:jc w:val="both"/>
        <w:rPr>
          <w:rFonts w:ascii="Arial" w:hAnsi="Arial" w:cs="Arial"/>
          <w:sz w:val="24"/>
          <w:szCs w:val="24"/>
        </w:rPr>
      </w:pPr>
      <w:r>
        <w:rPr>
          <w:rFonts w:ascii="Arial" w:hAnsi="Arial" w:cs="Arial"/>
          <w:sz w:val="24"/>
          <w:szCs w:val="24"/>
        </w:rPr>
        <w:t>Los derivados de la planta camptotecina, topotecán e</w:t>
      </w:r>
      <w:r w:rsidR="00DF33A7">
        <w:rPr>
          <w:rFonts w:ascii="Arial" w:hAnsi="Arial" w:cs="Arial"/>
          <w:sz w:val="24"/>
          <w:szCs w:val="24"/>
        </w:rPr>
        <w:t xml:space="preserve"> irinotecán son agentes</w:t>
      </w:r>
      <w:r>
        <w:rPr>
          <w:rFonts w:ascii="Arial" w:hAnsi="Arial" w:cs="Arial"/>
          <w:sz w:val="24"/>
          <w:szCs w:val="24"/>
        </w:rPr>
        <w:t xml:space="preserve"> </w:t>
      </w:r>
      <w:r w:rsidR="00DF33A7">
        <w:rPr>
          <w:rFonts w:ascii="Arial" w:hAnsi="Arial" w:cs="Arial"/>
          <w:sz w:val="24"/>
          <w:szCs w:val="24"/>
        </w:rPr>
        <w:t>semisintéticos que se cree</w:t>
      </w:r>
      <w:r w:rsidR="00F0138E">
        <w:rPr>
          <w:rFonts w:ascii="Arial" w:hAnsi="Arial" w:cs="Arial"/>
          <w:sz w:val="24"/>
          <w:szCs w:val="24"/>
        </w:rPr>
        <w:t xml:space="preserve"> que inhiben la topoisomerasa </w:t>
      </w:r>
      <w:r w:rsidR="00DF33A7">
        <w:rPr>
          <w:rFonts w:ascii="Arial" w:hAnsi="Arial" w:cs="Arial"/>
          <w:sz w:val="24"/>
          <w:szCs w:val="24"/>
        </w:rPr>
        <w:t xml:space="preserve">I, una enzima responsable de mantener la estructura del ADN. Estos </w:t>
      </w:r>
      <w:r w:rsidR="00F0138E">
        <w:rPr>
          <w:rFonts w:ascii="Arial" w:hAnsi="Arial" w:cs="Arial"/>
          <w:sz w:val="24"/>
          <w:szCs w:val="24"/>
        </w:rPr>
        <w:t>agentes</w:t>
      </w:r>
      <w:r w:rsidR="00DF33A7">
        <w:rPr>
          <w:rFonts w:ascii="Arial" w:hAnsi="Arial" w:cs="Arial"/>
          <w:sz w:val="24"/>
          <w:szCs w:val="24"/>
        </w:rPr>
        <w:t xml:space="preserve"> se</w:t>
      </w:r>
      <w:r w:rsidR="00F0138E">
        <w:rPr>
          <w:rFonts w:ascii="Arial" w:hAnsi="Arial" w:cs="Arial"/>
          <w:sz w:val="24"/>
          <w:szCs w:val="24"/>
        </w:rPr>
        <w:t xml:space="preserve"> unen con el complejo ADN-enzima, causando rupturas en las cadenas de ADN y muerte celular.</w:t>
      </w:r>
    </w:p>
    <w:p w:rsidR="00F0138E" w:rsidRPr="00F8348E" w:rsidRDefault="00F0138E" w:rsidP="0096486C">
      <w:pPr>
        <w:jc w:val="both"/>
        <w:rPr>
          <w:rFonts w:ascii="Arial" w:hAnsi="Arial" w:cs="Arial"/>
          <w:b/>
          <w:sz w:val="24"/>
          <w:szCs w:val="24"/>
        </w:rPr>
      </w:pPr>
      <w:r w:rsidRPr="00F8348E">
        <w:rPr>
          <w:rFonts w:ascii="Arial" w:hAnsi="Arial" w:cs="Arial"/>
          <w:b/>
          <w:sz w:val="24"/>
          <w:szCs w:val="24"/>
        </w:rPr>
        <w:t>Corticosteroides</w:t>
      </w:r>
    </w:p>
    <w:p w:rsidR="00F0138E" w:rsidRDefault="00F0138E" w:rsidP="0096486C">
      <w:pPr>
        <w:jc w:val="both"/>
        <w:rPr>
          <w:rFonts w:ascii="Arial" w:hAnsi="Arial" w:cs="Arial"/>
          <w:sz w:val="24"/>
          <w:szCs w:val="24"/>
        </w:rPr>
      </w:pPr>
      <w:r>
        <w:rPr>
          <w:rFonts w:ascii="Arial" w:hAnsi="Arial" w:cs="Arial"/>
          <w:sz w:val="24"/>
          <w:szCs w:val="24"/>
        </w:rPr>
        <w:t xml:space="preserve">Los </w:t>
      </w:r>
      <w:r w:rsidR="004846FC">
        <w:rPr>
          <w:rFonts w:ascii="Arial" w:hAnsi="Arial" w:cs="Arial"/>
          <w:sz w:val="24"/>
          <w:szCs w:val="24"/>
        </w:rPr>
        <w:t>corticosteroides parecen ingresar de forma pasiva en la célula y se unen con macromoléculas en el citoplasma de la célula. Ese complejo después entra en el núcleo celular, se une al ADN y modifica el proceso de transcripción. El uso de esteroides en el tratamiento del cáncer pediátrico está limitado principalmente a la prednisona y dexametasona.</w:t>
      </w:r>
    </w:p>
    <w:p w:rsidR="00F8348E" w:rsidRDefault="00F8348E" w:rsidP="0096486C">
      <w:pPr>
        <w:jc w:val="both"/>
        <w:rPr>
          <w:rFonts w:ascii="Arial" w:hAnsi="Arial" w:cs="Arial"/>
          <w:b/>
          <w:sz w:val="24"/>
          <w:szCs w:val="24"/>
        </w:rPr>
      </w:pPr>
    </w:p>
    <w:p w:rsidR="004846FC" w:rsidRPr="00F8348E" w:rsidRDefault="004846FC" w:rsidP="0096486C">
      <w:pPr>
        <w:jc w:val="both"/>
        <w:rPr>
          <w:rFonts w:ascii="Arial" w:hAnsi="Arial" w:cs="Arial"/>
          <w:b/>
          <w:sz w:val="24"/>
          <w:szCs w:val="24"/>
        </w:rPr>
      </w:pPr>
      <w:r w:rsidRPr="00F8348E">
        <w:rPr>
          <w:rFonts w:ascii="Arial" w:hAnsi="Arial" w:cs="Arial"/>
          <w:b/>
          <w:sz w:val="24"/>
          <w:szCs w:val="24"/>
        </w:rPr>
        <w:lastRenderedPageBreak/>
        <w:t>Antiangiogénicos</w:t>
      </w:r>
    </w:p>
    <w:p w:rsidR="004846FC" w:rsidRDefault="004846FC" w:rsidP="0096486C">
      <w:pPr>
        <w:jc w:val="both"/>
        <w:rPr>
          <w:rFonts w:ascii="Arial" w:hAnsi="Arial" w:cs="Arial"/>
          <w:sz w:val="24"/>
          <w:szCs w:val="24"/>
        </w:rPr>
      </w:pPr>
      <w:r>
        <w:rPr>
          <w:rFonts w:ascii="Arial" w:hAnsi="Arial" w:cs="Arial"/>
          <w:sz w:val="24"/>
          <w:szCs w:val="24"/>
        </w:rPr>
        <w:t xml:space="preserve">Los antiangiogénicos actúan en la angiogénesis, la cual es el proceso de reclutar y formar nuevos vasos sanguíneos. Este crecimiento de nuevos vasos sanguíneos o neovascularizaciones necesarias para que ocurra metástasis. La  angiogénesis del tumor inicia con células tumorales cancerosas que liberan </w:t>
      </w:r>
      <w:r w:rsidR="00422A3D">
        <w:rPr>
          <w:rFonts w:ascii="Arial" w:hAnsi="Arial" w:cs="Arial"/>
          <w:sz w:val="24"/>
          <w:szCs w:val="24"/>
        </w:rPr>
        <w:t>mensajeros químicos en el tejido huésped normal circulante. Estos mensajeros activan genes en el tejido huésped para producir proteínas que fomentan el crecimiento de nuevos vasos sanguíneos. Los antiangiogénicos actúan en una gran variedad de formas para prevenir el crecimiento de nuevos vasos sanguíneos, que incluyen:</w:t>
      </w:r>
    </w:p>
    <w:p w:rsidR="00422A3D" w:rsidRDefault="00422A3D" w:rsidP="00422A3D">
      <w:pPr>
        <w:pStyle w:val="Prrafodelista"/>
        <w:numPr>
          <w:ilvl w:val="0"/>
          <w:numId w:val="6"/>
        </w:numPr>
        <w:jc w:val="both"/>
        <w:rPr>
          <w:rFonts w:ascii="Arial" w:hAnsi="Arial" w:cs="Arial"/>
          <w:sz w:val="24"/>
          <w:szCs w:val="24"/>
        </w:rPr>
      </w:pPr>
      <w:r>
        <w:rPr>
          <w:rFonts w:ascii="Arial" w:hAnsi="Arial" w:cs="Arial"/>
          <w:sz w:val="24"/>
          <w:szCs w:val="24"/>
        </w:rPr>
        <w:t>Inhibición directa de las células endoteliales.</w:t>
      </w:r>
    </w:p>
    <w:p w:rsidR="00422A3D" w:rsidRDefault="00422A3D" w:rsidP="00422A3D">
      <w:pPr>
        <w:pStyle w:val="Prrafodelista"/>
        <w:numPr>
          <w:ilvl w:val="0"/>
          <w:numId w:val="6"/>
        </w:numPr>
        <w:jc w:val="both"/>
        <w:rPr>
          <w:rFonts w:ascii="Arial" w:hAnsi="Arial" w:cs="Arial"/>
          <w:sz w:val="24"/>
          <w:szCs w:val="24"/>
        </w:rPr>
      </w:pPr>
      <w:r>
        <w:rPr>
          <w:rFonts w:ascii="Arial" w:hAnsi="Arial" w:cs="Arial"/>
          <w:sz w:val="24"/>
          <w:szCs w:val="24"/>
        </w:rPr>
        <w:t>Interrupción del proceso de mensajería de la angiogénesis.</w:t>
      </w:r>
    </w:p>
    <w:p w:rsidR="00422A3D" w:rsidRDefault="00422A3D" w:rsidP="00422A3D">
      <w:pPr>
        <w:pStyle w:val="Prrafodelista"/>
        <w:numPr>
          <w:ilvl w:val="0"/>
          <w:numId w:val="6"/>
        </w:numPr>
        <w:jc w:val="both"/>
        <w:rPr>
          <w:rFonts w:ascii="Arial" w:hAnsi="Arial" w:cs="Arial"/>
          <w:sz w:val="24"/>
          <w:szCs w:val="24"/>
        </w:rPr>
      </w:pPr>
      <w:r>
        <w:rPr>
          <w:rFonts w:ascii="Arial" w:hAnsi="Arial" w:cs="Arial"/>
          <w:sz w:val="24"/>
          <w:szCs w:val="24"/>
        </w:rPr>
        <w:t xml:space="preserve">Prevención de la degradación del tejido matriz por células endoteliales activas, con lo que se evita que las células nuevas se unan para formar vasos nuevos. </w:t>
      </w:r>
    </w:p>
    <w:p w:rsidR="00422A3D" w:rsidRDefault="00422A3D" w:rsidP="00422A3D">
      <w:pPr>
        <w:ind w:left="360"/>
        <w:jc w:val="both"/>
        <w:rPr>
          <w:rFonts w:ascii="Arial" w:hAnsi="Arial" w:cs="Arial"/>
          <w:sz w:val="24"/>
          <w:szCs w:val="24"/>
        </w:rPr>
      </w:pPr>
      <w:r>
        <w:rPr>
          <w:rFonts w:ascii="Arial" w:hAnsi="Arial" w:cs="Arial"/>
          <w:sz w:val="24"/>
          <w:szCs w:val="24"/>
        </w:rPr>
        <w:t xml:space="preserve">Misceláneos </w:t>
      </w:r>
    </w:p>
    <w:p w:rsidR="00422A3D" w:rsidRDefault="00422A3D" w:rsidP="00422A3D">
      <w:pPr>
        <w:ind w:left="360"/>
        <w:jc w:val="both"/>
        <w:rPr>
          <w:rFonts w:ascii="Arial" w:hAnsi="Arial" w:cs="Arial"/>
          <w:sz w:val="24"/>
          <w:szCs w:val="24"/>
        </w:rPr>
      </w:pPr>
      <w:r>
        <w:rPr>
          <w:rFonts w:ascii="Arial" w:hAnsi="Arial" w:cs="Arial"/>
          <w:sz w:val="24"/>
          <w:szCs w:val="24"/>
        </w:rPr>
        <w:t>A los agentes quimioterapéuticos que no encajan en una clasificación en particular se les llaman agentes misceláneos</w:t>
      </w:r>
      <w:r w:rsidR="0072396B">
        <w:rPr>
          <w:rFonts w:ascii="Arial" w:hAnsi="Arial" w:cs="Arial"/>
          <w:sz w:val="24"/>
          <w:szCs w:val="24"/>
        </w:rPr>
        <w:t>. Incluyen enzimas (L-asparaginasa y PEG-asparaginasa) y otros agentes (p. ej., hidroxiurea, procarbazina).</w:t>
      </w:r>
    </w:p>
    <w:p w:rsidR="0072396B" w:rsidRDefault="0072396B" w:rsidP="00422A3D">
      <w:pPr>
        <w:ind w:left="360"/>
        <w:jc w:val="both"/>
        <w:rPr>
          <w:rFonts w:ascii="Arial" w:hAnsi="Arial" w:cs="Arial"/>
          <w:sz w:val="24"/>
          <w:szCs w:val="24"/>
        </w:rPr>
      </w:pPr>
      <w:r>
        <w:rPr>
          <w:rFonts w:ascii="Arial" w:hAnsi="Arial" w:cs="Arial"/>
          <w:sz w:val="24"/>
          <w:szCs w:val="24"/>
        </w:rPr>
        <w:t>La asparaginasa es una enzima no específica del ciclo celular que es producida por la bacteria escherichia coli o erwinia y que actúa para inhibir la síntesis del ADN, ARN y de proteínas al hidrolizar la asparagina sérica en los productos no funcionales del ácido aspártico y amoníaco. La PEG-asparaginasa también es producida por bacterias, pero esta revestida por un compuesto llamado polietilenglicol que produce</w:t>
      </w:r>
      <w:r w:rsidR="0028732A">
        <w:rPr>
          <w:rFonts w:ascii="Arial" w:hAnsi="Arial" w:cs="Arial"/>
          <w:sz w:val="24"/>
          <w:szCs w:val="24"/>
        </w:rPr>
        <w:t xml:space="preserve"> la inmunogenicidad de la enzima natural. La hidroxiurea inhibe la síntesis del ADN y causa la muerte celular en la fase S. Se cree que la procarbazina actúa más en la fase G2 al causar rupturas en el ADN de una sola cadena durante o poco después de la síntesis de ADN. Estos efectos en el ADN pueden inhibir la síntesis de ADN, ARN y de proteínas.</w:t>
      </w:r>
    </w:p>
    <w:p w:rsidR="0028732A" w:rsidRPr="00422A3D" w:rsidRDefault="0028732A" w:rsidP="00422A3D">
      <w:pPr>
        <w:ind w:left="360"/>
        <w:jc w:val="both"/>
        <w:rPr>
          <w:rFonts w:ascii="Arial" w:hAnsi="Arial" w:cs="Arial"/>
          <w:sz w:val="24"/>
          <w:szCs w:val="24"/>
        </w:rPr>
      </w:pPr>
    </w:p>
    <w:p w:rsidR="00767DF6" w:rsidRDefault="008C5513" w:rsidP="0096486C">
      <w:pPr>
        <w:jc w:val="both"/>
        <w:rPr>
          <w:rFonts w:ascii="Arial" w:hAnsi="Arial" w:cs="Arial"/>
          <w:sz w:val="24"/>
          <w:szCs w:val="24"/>
        </w:rPr>
      </w:pPr>
      <w:r>
        <w:rPr>
          <w:rFonts w:ascii="Arial" w:hAnsi="Arial" w:cs="Arial"/>
          <w:sz w:val="24"/>
          <w:szCs w:val="24"/>
        </w:rPr>
        <w:lastRenderedPageBreak/>
        <w:t xml:space="preserve">Tabla 1 </w:t>
      </w:r>
      <w:r w:rsidR="0028732A">
        <w:rPr>
          <w:rFonts w:ascii="Arial" w:hAnsi="Arial" w:cs="Arial"/>
          <w:sz w:val="24"/>
          <w:szCs w:val="24"/>
        </w:rPr>
        <w:t>Agentes quimioterapéuticos</w:t>
      </w:r>
    </w:p>
    <w:tbl>
      <w:tblPr>
        <w:tblStyle w:val="Tablaconcuadrcula"/>
        <w:tblW w:w="13291" w:type="dxa"/>
        <w:tblLayout w:type="fixed"/>
        <w:tblLook w:val="04A0" w:firstRow="1" w:lastRow="0" w:firstColumn="1" w:lastColumn="0" w:noHBand="0" w:noVBand="1"/>
      </w:tblPr>
      <w:tblGrid>
        <w:gridCol w:w="1242"/>
        <w:gridCol w:w="1418"/>
        <w:gridCol w:w="850"/>
        <w:gridCol w:w="2694"/>
        <w:gridCol w:w="2268"/>
        <w:gridCol w:w="4819"/>
      </w:tblGrid>
      <w:tr w:rsidR="00035BF7" w:rsidTr="00C11C9E">
        <w:tc>
          <w:tcPr>
            <w:tcW w:w="1242" w:type="dxa"/>
          </w:tcPr>
          <w:p w:rsidR="0028732A" w:rsidRPr="0028732A" w:rsidRDefault="0028732A" w:rsidP="0096486C">
            <w:pPr>
              <w:jc w:val="both"/>
              <w:rPr>
                <w:rFonts w:ascii="Arial" w:hAnsi="Arial" w:cs="Arial"/>
                <w:sz w:val="20"/>
                <w:szCs w:val="20"/>
              </w:rPr>
            </w:pPr>
            <w:r w:rsidRPr="0028732A">
              <w:rPr>
                <w:rFonts w:ascii="Arial" w:hAnsi="Arial" w:cs="Arial"/>
                <w:sz w:val="20"/>
                <w:szCs w:val="20"/>
              </w:rPr>
              <w:t>fármaco</w:t>
            </w:r>
          </w:p>
        </w:tc>
        <w:tc>
          <w:tcPr>
            <w:tcW w:w="1418" w:type="dxa"/>
          </w:tcPr>
          <w:p w:rsidR="0028732A" w:rsidRPr="0028732A" w:rsidRDefault="0028732A" w:rsidP="0096486C">
            <w:pPr>
              <w:jc w:val="both"/>
              <w:rPr>
                <w:rFonts w:ascii="Arial" w:hAnsi="Arial" w:cs="Arial"/>
                <w:sz w:val="20"/>
                <w:szCs w:val="20"/>
              </w:rPr>
            </w:pPr>
            <w:r w:rsidRPr="0028732A">
              <w:rPr>
                <w:rFonts w:ascii="Arial" w:hAnsi="Arial" w:cs="Arial"/>
                <w:sz w:val="20"/>
                <w:szCs w:val="20"/>
              </w:rPr>
              <w:t xml:space="preserve">Clasificación </w:t>
            </w:r>
          </w:p>
        </w:tc>
        <w:tc>
          <w:tcPr>
            <w:tcW w:w="850" w:type="dxa"/>
          </w:tcPr>
          <w:p w:rsidR="0028732A" w:rsidRPr="0028732A" w:rsidRDefault="008C5513" w:rsidP="0096486C">
            <w:pPr>
              <w:jc w:val="both"/>
              <w:rPr>
                <w:rFonts w:ascii="Arial" w:hAnsi="Arial" w:cs="Arial"/>
                <w:sz w:val="20"/>
                <w:szCs w:val="20"/>
              </w:rPr>
            </w:pPr>
            <w:r w:rsidRPr="0028732A">
              <w:rPr>
                <w:rFonts w:ascii="Arial" w:hAnsi="Arial" w:cs="Arial"/>
                <w:sz w:val="20"/>
                <w:szCs w:val="20"/>
              </w:rPr>
              <w:t>Vía</w:t>
            </w:r>
            <w:r w:rsidR="0028732A" w:rsidRPr="0028732A">
              <w:rPr>
                <w:rFonts w:ascii="Arial" w:hAnsi="Arial" w:cs="Arial"/>
                <w:sz w:val="20"/>
                <w:szCs w:val="20"/>
              </w:rPr>
              <w:t xml:space="preserve"> de </w:t>
            </w:r>
            <w:r w:rsidR="0095209F">
              <w:rPr>
                <w:rFonts w:ascii="Arial" w:hAnsi="Arial" w:cs="Arial"/>
                <w:sz w:val="20"/>
                <w:szCs w:val="20"/>
              </w:rPr>
              <w:t>adm.</w:t>
            </w:r>
            <w:r w:rsidR="0028732A" w:rsidRPr="0028732A">
              <w:rPr>
                <w:rFonts w:ascii="Arial" w:hAnsi="Arial" w:cs="Arial"/>
                <w:sz w:val="20"/>
                <w:szCs w:val="20"/>
              </w:rPr>
              <w:t xml:space="preserve"> </w:t>
            </w:r>
          </w:p>
        </w:tc>
        <w:tc>
          <w:tcPr>
            <w:tcW w:w="2694" w:type="dxa"/>
          </w:tcPr>
          <w:p w:rsidR="0028732A" w:rsidRPr="0028732A" w:rsidRDefault="0028732A" w:rsidP="0096486C">
            <w:pPr>
              <w:jc w:val="both"/>
              <w:rPr>
                <w:rFonts w:ascii="Arial" w:hAnsi="Arial" w:cs="Arial"/>
                <w:sz w:val="20"/>
                <w:szCs w:val="20"/>
              </w:rPr>
            </w:pPr>
            <w:r w:rsidRPr="0028732A">
              <w:rPr>
                <w:rFonts w:ascii="Arial" w:hAnsi="Arial" w:cs="Arial"/>
                <w:sz w:val="20"/>
                <w:szCs w:val="20"/>
              </w:rPr>
              <w:t>Efectos secundarios</w:t>
            </w:r>
          </w:p>
        </w:tc>
        <w:tc>
          <w:tcPr>
            <w:tcW w:w="2268" w:type="dxa"/>
          </w:tcPr>
          <w:p w:rsidR="0028732A" w:rsidRPr="0028732A" w:rsidRDefault="0028732A" w:rsidP="0096486C">
            <w:pPr>
              <w:jc w:val="both"/>
              <w:rPr>
                <w:rFonts w:ascii="Arial" w:hAnsi="Arial" w:cs="Arial"/>
                <w:sz w:val="20"/>
                <w:szCs w:val="20"/>
              </w:rPr>
            </w:pPr>
            <w:r w:rsidRPr="0028732A">
              <w:rPr>
                <w:rFonts w:ascii="Arial" w:hAnsi="Arial" w:cs="Arial"/>
                <w:sz w:val="20"/>
                <w:szCs w:val="20"/>
              </w:rPr>
              <w:t>Consideraciones especiales</w:t>
            </w:r>
          </w:p>
        </w:tc>
        <w:tc>
          <w:tcPr>
            <w:tcW w:w="4819" w:type="dxa"/>
          </w:tcPr>
          <w:p w:rsidR="0028732A" w:rsidRPr="0028732A" w:rsidRDefault="0028732A" w:rsidP="0096486C">
            <w:pPr>
              <w:jc w:val="both"/>
              <w:rPr>
                <w:rFonts w:ascii="Arial" w:hAnsi="Arial" w:cs="Arial"/>
                <w:sz w:val="20"/>
                <w:szCs w:val="20"/>
              </w:rPr>
            </w:pPr>
            <w:r w:rsidRPr="0028732A">
              <w:rPr>
                <w:rFonts w:ascii="Arial" w:hAnsi="Arial" w:cs="Arial"/>
                <w:sz w:val="20"/>
                <w:szCs w:val="20"/>
              </w:rPr>
              <w:t xml:space="preserve">Acciones de </w:t>
            </w:r>
            <w:r w:rsidR="008C5513" w:rsidRPr="0028732A">
              <w:rPr>
                <w:rFonts w:ascii="Arial" w:hAnsi="Arial" w:cs="Arial"/>
                <w:sz w:val="20"/>
                <w:szCs w:val="20"/>
              </w:rPr>
              <w:t>enfermería</w:t>
            </w:r>
          </w:p>
        </w:tc>
      </w:tr>
      <w:tr w:rsidR="00035BF7" w:rsidTr="00C11C9E">
        <w:tc>
          <w:tcPr>
            <w:tcW w:w="1242" w:type="dxa"/>
          </w:tcPr>
          <w:p w:rsidR="00C46745" w:rsidRDefault="00C46745" w:rsidP="0096486C">
            <w:pPr>
              <w:jc w:val="both"/>
              <w:rPr>
                <w:rFonts w:ascii="Arial" w:hAnsi="Arial" w:cs="Arial"/>
                <w:sz w:val="16"/>
                <w:szCs w:val="16"/>
              </w:rPr>
            </w:pPr>
          </w:p>
          <w:p w:rsidR="0028732A" w:rsidRPr="00035BF7" w:rsidRDefault="0028732A" w:rsidP="0096486C">
            <w:pPr>
              <w:jc w:val="both"/>
              <w:rPr>
                <w:rFonts w:ascii="Arial" w:hAnsi="Arial" w:cs="Arial"/>
                <w:sz w:val="16"/>
                <w:szCs w:val="16"/>
              </w:rPr>
            </w:pPr>
            <w:r w:rsidRPr="00035BF7">
              <w:rPr>
                <w:rFonts w:ascii="Arial" w:hAnsi="Arial" w:cs="Arial"/>
                <w:sz w:val="16"/>
                <w:szCs w:val="16"/>
              </w:rPr>
              <w:t xml:space="preserve">Trióxido de </w:t>
            </w:r>
            <w:r w:rsidR="00035BF7" w:rsidRPr="00035BF7">
              <w:rPr>
                <w:rFonts w:ascii="Arial" w:hAnsi="Arial" w:cs="Arial"/>
                <w:sz w:val="16"/>
                <w:szCs w:val="16"/>
              </w:rPr>
              <w:t>arsénico</w:t>
            </w:r>
          </w:p>
        </w:tc>
        <w:tc>
          <w:tcPr>
            <w:tcW w:w="1418" w:type="dxa"/>
          </w:tcPr>
          <w:p w:rsidR="00C46745" w:rsidRDefault="00C46745" w:rsidP="0096486C">
            <w:pPr>
              <w:jc w:val="both"/>
              <w:rPr>
                <w:rFonts w:ascii="Arial" w:hAnsi="Arial" w:cs="Arial"/>
                <w:sz w:val="16"/>
                <w:szCs w:val="16"/>
              </w:rPr>
            </w:pPr>
          </w:p>
          <w:p w:rsidR="0028732A" w:rsidRPr="00035BF7" w:rsidRDefault="0095209F" w:rsidP="0096486C">
            <w:pPr>
              <w:jc w:val="both"/>
              <w:rPr>
                <w:rFonts w:ascii="Arial" w:hAnsi="Arial" w:cs="Arial"/>
                <w:sz w:val="16"/>
                <w:szCs w:val="16"/>
              </w:rPr>
            </w:pPr>
            <w:r w:rsidRPr="00035BF7">
              <w:rPr>
                <w:rFonts w:ascii="Arial" w:hAnsi="Arial" w:cs="Arial"/>
                <w:sz w:val="16"/>
                <w:szCs w:val="16"/>
              </w:rPr>
              <w:t xml:space="preserve">Agente de </w:t>
            </w:r>
          </w:p>
          <w:p w:rsidR="0095209F" w:rsidRPr="00035BF7" w:rsidRDefault="00035BF7" w:rsidP="0096486C">
            <w:pPr>
              <w:jc w:val="both"/>
              <w:rPr>
                <w:rFonts w:ascii="Arial" w:hAnsi="Arial" w:cs="Arial"/>
                <w:sz w:val="16"/>
                <w:szCs w:val="16"/>
              </w:rPr>
            </w:pPr>
            <w:r w:rsidRPr="00035BF7">
              <w:rPr>
                <w:rFonts w:ascii="Arial" w:hAnsi="Arial" w:cs="Arial"/>
                <w:sz w:val="16"/>
                <w:szCs w:val="16"/>
              </w:rPr>
              <w:t>diferenciación</w:t>
            </w:r>
          </w:p>
        </w:tc>
        <w:tc>
          <w:tcPr>
            <w:tcW w:w="850" w:type="dxa"/>
          </w:tcPr>
          <w:p w:rsidR="00C46745" w:rsidRDefault="00C46745" w:rsidP="0096486C">
            <w:pPr>
              <w:jc w:val="both"/>
              <w:rPr>
                <w:rFonts w:ascii="Arial" w:hAnsi="Arial" w:cs="Arial"/>
                <w:sz w:val="16"/>
                <w:szCs w:val="16"/>
              </w:rPr>
            </w:pPr>
          </w:p>
          <w:p w:rsidR="0028732A" w:rsidRPr="00035BF7" w:rsidRDefault="008C5513" w:rsidP="0096486C">
            <w:pPr>
              <w:jc w:val="both"/>
              <w:rPr>
                <w:rFonts w:ascii="Arial" w:hAnsi="Arial" w:cs="Arial"/>
                <w:sz w:val="16"/>
                <w:szCs w:val="16"/>
              </w:rPr>
            </w:pPr>
            <w:r>
              <w:rPr>
                <w:rFonts w:ascii="Arial" w:hAnsi="Arial" w:cs="Arial"/>
                <w:sz w:val="16"/>
                <w:szCs w:val="16"/>
              </w:rPr>
              <w:t>iv.</w:t>
            </w:r>
          </w:p>
        </w:tc>
        <w:tc>
          <w:tcPr>
            <w:tcW w:w="2694" w:type="dxa"/>
          </w:tcPr>
          <w:p w:rsidR="00C46745" w:rsidRDefault="00C46745" w:rsidP="0096486C">
            <w:pPr>
              <w:jc w:val="both"/>
              <w:rPr>
                <w:rFonts w:ascii="Arial" w:hAnsi="Arial" w:cs="Arial"/>
                <w:sz w:val="16"/>
                <w:szCs w:val="16"/>
              </w:rPr>
            </w:pPr>
          </w:p>
          <w:p w:rsidR="0028732A" w:rsidRPr="00035BF7" w:rsidRDefault="0095209F" w:rsidP="0096486C">
            <w:pPr>
              <w:jc w:val="both"/>
              <w:rPr>
                <w:rFonts w:ascii="Arial" w:hAnsi="Arial" w:cs="Arial"/>
                <w:sz w:val="16"/>
                <w:szCs w:val="16"/>
              </w:rPr>
            </w:pPr>
            <w:r w:rsidRPr="00035BF7">
              <w:rPr>
                <w:rFonts w:ascii="Arial" w:hAnsi="Arial" w:cs="Arial"/>
                <w:sz w:val="16"/>
                <w:szCs w:val="16"/>
              </w:rPr>
              <w:t>Frecuentes: dolor de cabeza (</w:t>
            </w:r>
            <w:r w:rsidR="00035BF7" w:rsidRPr="00035BF7">
              <w:rPr>
                <w:rFonts w:ascii="Arial" w:hAnsi="Arial" w:cs="Arial"/>
                <w:sz w:val="16"/>
                <w:szCs w:val="16"/>
              </w:rPr>
              <w:t>inmediato</w:t>
            </w:r>
            <w:r w:rsidRPr="00035BF7">
              <w:rPr>
                <w:rFonts w:ascii="Arial" w:hAnsi="Arial" w:cs="Arial"/>
                <w:sz w:val="16"/>
                <w:szCs w:val="16"/>
              </w:rPr>
              <w:t>), fiebre, mareos, hipotensión, estremecimientos, hipercalcemia, cambios cutáneos (retardados), anomalías electrolíticas, dolor óseo, artralgia, anomalías en la función hepática.</w:t>
            </w:r>
          </w:p>
          <w:p w:rsidR="0095209F" w:rsidRPr="00035BF7" w:rsidRDefault="0095209F" w:rsidP="0096486C">
            <w:pPr>
              <w:jc w:val="both"/>
              <w:rPr>
                <w:rFonts w:ascii="Arial" w:hAnsi="Arial" w:cs="Arial"/>
                <w:sz w:val="16"/>
                <w:szCs w:val="16"/>
              </w:rPr>
            </w:pPr>
            <w:r w:rsidRPr="00035BF7">
              <w:rPr>
                <w:rFonts w:ascii="Arial" w:hAnsi="Arial" w:cs="Arial"/>
                <w:sz w:val="16"/>
                <w:szCs w:val="16"/>
              </w:rPr>
              <w:t>Ocasionales: dolor de pecho, dolor en el sitio de la inyección, neuropatía periférica, temblor.</w:t>
            </w:r>
          </w:p>
          <w:p w:rsidR="0095209F" w:rsidRPr="00035BF7" w:rsidRDefault="0095209F" w:rsidP="0096486C">
            <w:pPr>
              <w:jc w:val="both"/>
              <w:rPr>
                <w:rFonts w:ascii="Arial" w:hAnsi="Arial" w:cs="Arial"/>
                <w:sz w:val="16"/>
                <w:szCs w:val="16"/>
              </w:rPr>
            </w:pPr>
            <w:r w:rsidRPr="00035BF7">
              <w:rPr>
                <w:rFonts w:ascii="Arial" w:hAnsi="Arial" w:cs="Arial"/>
                <w:sz w:val="16"/>
                <w:szCs w:val="16"/>
              </w:rPr>
              <w:t>Raros: hipersensibilidad</w:t>
            </w:r>
          </w:p>
        </w:tc>
        <w:tc>
          <w:tcPr>
            <w:tcW w:w="2268" w:type="dxa"/>
          </w:tcPr>
          <w:p w:rsidR="00C46745" w:rsidRDefault="00C46745" w:rsidP="0096486C">
            <w:pPr>
              <w:jc w:val="both"/>
              <w:rPr>
                <w:rFonts w:ascii="Arial" w:hAnsi="Arial" w:cs="Arial"/>
                <w:sz w:val="16"/>
                <w:szCs w:val="16"/>
              </w:rPr>
            </w:pPr>
          </w:p>
          <w:p w:rsidR="0028732A" w:rsidRPr="00035BF7" w:rsidRDefault="00C46745" w:rsidP="0096486C">
            <w:pPr>
              <w:jc w:val="both"/>
              <w:rPr>
                <w:rFonts w:ascii="Arial" w:hAnsi="Arial" w:cs="Arial"/>
                <w:sz w:val="16"/>
                <w:szCs w:val="16"/>
              </w:rPr>
            </w:pPr>
            <w:proofErr w:type="spellStart"/>
            <w:r>
              <w:rPr>
                <w:rFonts w:ascii="Arial" w:hAnsi="Arial" w:cs="Arial"/>
                <w:sz w:val="16"/>
                <w:szCs w:val="16"/>
              </w:rPr>
              <w:t>Si</w:t>
            </w:r>
            <w:r w:rsidR="0095209F" w:rsidRPr="00035BF7">
              <w:rPr>
                <w:rFonts w:ascii="Arial" w:hAnsi="Arial" w:cs="Arial"/>
                <w:sz w:val="16"/>
                <w:szCs w:val="16"/>
              </w:rPr>
              <w:t>ndrome</w:t>
            </w:r>
            <w:proofErr w:type="spellEnd"/>
            <w:r w:rsidR="0095209F" w:rsidRPr="00035BF7">
              <w:rPr>
                <w:rFonts w:ascii="Arial" w:hAnsi="Arial" w:cs="Arial"/>
                <w:sz w:val="16"/>
                <w:szCs w:val="16"/>
              </w:rPr>
              <w:t xml:space="preserve"> de diferenciación de leucemia promielocítica aguda (LPA): fiebre, aumento de peso, dificultad para respirar, dolor </w:t>
            </w:r>
            <w:r w:rsidR="00035BF7" w:rsidRPr="00035BF7">
              <w:rPr>
                <w:rFonts w:ascii="Arial" w:hAnsi="Arial" w:cs="Arial"/>
                <w:sz w:val="16"/>
                <w:szCs w:val="16"/>
              </w:rPr>
              <w:t>musculoesquelético. Erupción maculopapular característica en el cuello y torso (se resuelve cuando se interrumpe el fármaco)</w:t>
            </w:r>
          </w:p>
        </w:tc>
        <w:tc>
          <w:tcPr>
            <w:tcW w:w="4819" w:type="dxa"/>
          </w:tcPr>
          <w:p w:rsidR="00C46745" w:rsidRDefault="00C46745" w:rsidP="0096486C">
            <w:pPr>
              <w:jc w:val="both"/>
              <w:rPr>
                <w:rFonts w:ascii="Arial" w:hAnsi="Arial" w:cs="Arial"/>
                <w:sz w:val="16"/>
                <w:szCs w:val="16"/>
              </w:rPr>
            </w:pPr>
          </w:p>
          <w:p w:rsidR="0028732A" w:rsidRDefault="00035BF7" w:rsidP="0096486C">
            <w:pPr>
              <w:jc w:val="both"/>
              <w:rPr>
                <w:rFonts w:ascii="Arial" w:hAnsi="Arial" w:cs="Arial"/>
                <w:sz w:val="16"/>
                <w:szCs w:val="16"/>
              </w:rPr>
            </w:pPr>
            <w:r w:rsidRPr="00035BF7">
              <w:rPr>
                <w:rFonts w:ascii="Arial" w:hAnsi="Arial" w:cs="Arial"/>
                <w:sz w:val="16"/>
                <w:szCs w:val="16"/>
              </w:rPr>
              <w:t>Hacer más lenta la infusión si ocurren mareos</w:t>
            </w:r>
            <w:r>
              <w:rPr>
                <w:rFonts w:ascii="Arial" w:hAnsi="Arial" w:cs="Arial"/>
                <w:sz w:val="16"/>
                <w:szCs w:val="16"/>
              </w:rPr>
              <w:t>.</w:t>
            </w:r>
          </w:p>
          <w:p w:rsidR="00035BF7" w:rsidRDefault="00035BF7" w:rsidP="0096486C">
            <w:pPr>
              <w:jc w:val="both"/>
              <w:rPr>
                <w:rFonts w:ascii="Arial" w:hAnsi="Arial" w:cs="Arial"/>
                <w:sz w:val="16"/>
                <w:szCs w:val="16"/>
              </w:rPr>
            </w:pPr>
            <w:r>
              <w:rPr>
                <w:rFonts w:ascii="Arial" w:hAnsi="Arial" w:cs="Arial"/>
                <w:sz w:val="16"/>
                <w:szCs w:val="16"/>
              </w:rPr>
              <w:t>Debido a que los pacientes con leucemia promielocítica aguda pueden desarrollar síndrome de diferenciación y leucocitosis, monitorear de cerca, incluidos los conteos sanguíneos y electrolíticos; tratar con esteroides y diuréticos.</w:t>
            </w:r>
          </w:p>
          <w:p w:rsidR="00035BF7" w:rsidRPr="00035BF7" w:rsidRDefault="00035BF7" w:rsidP="0096486C">
            <w:pPr>
              <w:jc w:val="both"/>
              <w:rPr>
                <w:rFonts w:ascii="Arial" w:hAnsi="Arial" w:cs="Arial"/>
                <w:sz w:val="16"/>
                <w:szCs w:val="16"/>
              </w:rPr>
            </w:pPr>
            <w:r>
              <w:rPr>
                <w:rFonts w:ascii="Arial" w:hAnsi="Arial" w:cs="Arial"/>
                <w:sz w:val="16"/>
                <w:szCs w:val="16"/>
              </w:rPr>
              <w:t>Vigilar el ECG; buscar cambios en el segmento QT</w:t>
            </w:r>
          </w:p>
        </w:tc>
      </w:tr>
      <w:tr w:rsidR="00035BF7" w:rsidTr="00C11C9E">
        <w:tc>
          <w:tcPr>
            <w:tcW w:w="1242" w:type="dxa"/>
          </w:tcPr>
          <w:p w:rsidR="00C46745" w:rsidRDefault="00C46745" w:rsidP="0096486C">
            <w:pPr>
              <w:jc w:val="both"/>
              <w:rPr>
                <w:rFonts w:ascii="Arial" w:hAnsi="Arial" w:cs="Arial"/>
                <w:sz w:val="16"/>
                <w:szCs w:val="16"/>
              </w:rPr>
            </w:pPr>
          </w:p>
          <w:p w:rsidR="0028732A" w:rsidRDefault="00035BF7" w:rsidP="0096486C">
            <w:pPr>
              <w:jc w:val="both"/>
              <w:rPr>
                <w:rFonts w:ascii="Arial" w:hAnsi="Arial" w:cs="Arial"/>
                <w:sz w:val="16"/>
                <w:szCs w:val="16"/>
              </w:rPr>
            </w:pPr>
            <w:r>
              <w:rPr>
                <w:rFonts w:ascii="Arial" w:hAnsi="Arial" w:cs="Arial"/>
                <w:sz w:val="16"/>
                <w:szCs w:val="16"/>
              </w:rPr>
              <w:t>Asparaginasa</w:t>
            </w:r>
          </w:p>
          <w:p w:rsidR="00E14F9E" w:rsidRDefault="00E14F9E" w:rsidP="0096486C">
            <w:pPr>
              <w:jc w:val="both"/>
              <w:rPr>
                <w:rFonts w:ascii="Arial" w:hAnsi="Arial" w:cs="Arial"/>
                <w:sz w:val="16"/>
                <w:szCs w:val="16"/>
              </w:rPr>
            </w:pPr>
          </w:p>
          <w:p w:rsidR="00035BF7" w:rsidRDefault="00035BF7" w:rsidP="0096486C">
            <w:pPr>
              <w:jc w:val="both"/>
              <w:rPr>
                <w:rFonts w:ascii="Arial" w:hAnsi="Arial" w:cs="Arial"/>
                <w:sz w:val="16"/>
                <w:szCs w:val="16"/>
              </w:rPr>
            </w:pPr>
            <w:r>
              <w:rPr>
                <w:rFonts w:ascii="Arial" w:hAnsi="Arial" w:cs="Arial"/>
                <w:sz w:val="16"/>
                <w:szCs w:val="16"/>
              </w:rPr>
              <w:t>Erwinia</w:t>
            </w:r>
          </w:p>
          <w:p w:rsidR="00E14F9E" w:rsidRDefault="00E14F9E" w:rsidP="0096486C">
            <w:pPr>
              <w:jc w:val="both"/>
              <w:rPr>
                <w:rFonts w:ascii="Arial" w:hAnsi="Arial" w:cs="Arial"/>
                <w:sz w:val="16"/>
                <w:szCs w:val="16"/>
              </w:rPr>
            </w:pPr>
          </w:p>
          <w:p w:rsidR="00035BF7" w:rsidRDefault="00E14F9E" w:rsidP="0096486C">
            <w:pPr>
              <w:jc w:val="both"/>
              <w:rPr>
                <w:rFonts w:ascii="Arial" w:hAnsi="Arial" w:cs="Arial"/>
                <w:sz w:val="16"/>
                <w:szCs w:val="16"/>
              </w:rPr>
            </w:pPr>
            <w:r>
              <w:rPr>
                <w:rFonts w:ascii="Arial" w:hAnsi="Arial" w:cs="Arial"/>
                <w:sz w:val="16"/>
                <w:szCs w:val="16"/>
              </w:rPr>
              <w:t>PEG-asparaginasa</w:t>
            </w:r>
            <w:r w:rsidR="008C5513">
              <w:rPr>
                <w:rFonts w:ascii="Arial" w:hAnsi="Arial" w:cs="Arial"/>
                <w:sz w:val="16"/>
                <w:szCs w:val="16"/>
              </w:rPr>
              <w:t xml:space="preserve"> (pegaspargasa, oncaspar)</w:t>
            </w:r>
          </w:p>
          <w:p w:rsidR="00E14F9E" w:rsidRDefault="00E14F9E" w:rsidP="0096486C">
            <w:pPr>
              <w:jc w:val="both"/>
              <w:rPr>
                <w:rFonts w:ascii="Arial" w:hAnsi="Arial" w:cs="Arial"/>
                <w:sz w:val="16"/>
                <w:szCs w:val="16"/>
              </w:rPr>
            </w:pPr>
          </w:p>
          <w:p w:rsidR="00E14F9E" w:rsidRDefault="00E14F9E" w:rsidP="0096486C">
            <w:pPr>
              <w:jc w:val="both"/>
              <w:rPr>
                <w:rFonts w:ascii="Arial" w:hAnsi="Arial" w:cs="Arial"/>
                <w:sz w:val="16"/>
                <w:szCs w:val="16"/>
              </w:rPr>
            </w:pPr>
            <w:r>
              <w:rPr>
                <w:rFonts w:ascii="Arial" w:hAnsi="Arial" w:cs="Arial"/>
                <w:sz w:val="16"/>
                <w:szCs w:val="16"/>
              </w:rPr>
              <w:t>E. coli</w:t>
            </w:r>
          </w:p>
          <w:p w:rsidR="00E14F9E" w:rsidRDefault="00E14F9E" w:rsidP="0096486C">
            <w:pPr>
              <w:jc w:val="both"/>
              <w:rPr>
                <w:rFonts w:ascii="Arial" w:hAnsi="Arial" w:cs="Arial"/>
                <w:sz w:val="16"/>
                <w:szCs w:val="16"/>
              </w:rPr>
            </w:pPr>
            <w:r>
              <w:rPr>
                <w:rFonts w:ascii="Arial" w:hAnsi="Arial" w:cs="Arial"/>
                <w:sz w:val="16"/>
                <w:szCs w:val="16"/>
              </w:rPr>
              <w:t>Asparaginasa</w:t>
            </w:r>
          </w:p>
          <w:p w:rsidR="00E14F9E" w:rsidRPr="00035BF7" w:rsidRDefault="00E14F9E" w:rsidP="0096486C">
            <w:pPr>
              <w:jc w:val="both"/>
              <w:rPr>
                <w:rFonts w:ascii="Arial" w:hAnsi="Arial" w:cs="Arial"/>
                <w:sz w:val="16"/>
                <w:szCs w:val="16"/>
              </w:rPr>
            </w:pPr>
            <w:r>
              <w:rPr>
                <w:rFonts w:ascii="Arial" w:hAnsi="Arial" w:cs="Arial"/>
                <w:sz w:val="16"/>
                <w:szCs w:val="16"/>
              </w:rPr>
              <w:t>Conjugada con polietilenglicol</w:t>
            </w:r>
          </w:p>
        </w:tc>
        <w:tc>
          <w:tcPr>
            <w:tcW w:w="1418" w:type="dxa"/>
          </w:tcPr>
          <w:p w:rsidR="00C46745" w:rsidRDefault="00C46745" w:rsidP="0096486C">
            <w:pPr>
              <w:jc w:val="both"/>
              <w:rPr>
                <w:rFonts w:ascii="Arial" w:hAnsi="Arial" w:cs="Arial"/>
                <w:sz w:val="16"/>
                <w:szCs w:val="16"/>
              </w:rPr>
            </w:pPr>
          </w:p>
          <w:p w:rsidR="0028732A" w:rsidRPr="00035BF7" w:rsidRDefault="00E14F9E" w:rsidP="0096486C">
            <w:pPr>
              <w:jc w:val="both"/>
              <w:rPr>
                <w:rFonts w:ascii="Arial" w:hAnsi="Arial" w:cs="Arial"/>
                <w:sz w:val="16"/>
                <w:szCs w:val="16"/>
              </w:rPr>
            </w:pPr>
            <w:r>
              <w:rPr>
                <w:rFonts w:ascii="Arial" w:hAnsi="Arial" w:cs="Arial"/>
                <w:sz w:val="16"/>
                <w:szCs w:val="16"/>
              </w:rPr>
              <w:t>misceláneos</w:t>
            </w:r>
          </w:p>
        </w:tc>
        <w:tc>
          <w:tcPr>
            <w:tcW w:w="850" w:type="dxa"/>
          </w:tcPr>
          <w:p w:rsidR="00C46745" w:rsidRDefault="00C46745" w:rsidP="0096486C">
            <w:pPr>
              <w:jc w:val="both"/>
              <w:rPr>
                <w:rFonts w:ascii="Arial" w:hAnsi="Arial" w:cs="Arial"/>
                <w:sz w:val="16"/>
                <w:szCs w:val="16"/>
              </w:rPr>
            </w:pPr>
          </w:p>
          <w:p w:rsidR="0028732A" w:rsidRPr="00035BF7" w:rsidRDefault="00E14F9E" w:rsidP="0096486C">
            <w:pPr>
              <w:jc w:val="both"/>
              <w:rPr>
                <w:rFonts w:ascii="Arial" w:hAnsi="Arial" w:cs="Arial"/>
                <w:sz w:val="16"/>
                <w:szCs w:val="16"/>
              </w:rPr>
            </w:pPr>
            <w:r>
              <w:rPr>
                <w:rFonts w:ascii="Arial" w:hAnsi="Arial" w:cs="Arial"/>
                <w:sz w:val="16"/>
                <w:szCs w:val="16"/>
              </w:rPr>
              <w:t xml:space="preserve">iv. </w:t>
            </w:r>
            <w:proofErr w:type="spellStart"/>
            <w:r>
              <w:rPr>
                <w:rFonts w:ascii="Arial" w:hAnsi="Arial" w:cs="Arial"/>
                <w:sz w:val="16"/>
                <w:szCs w:val="16"/>
              </w:rPr>
              <w:t>im</w:t>
            </w:r>
            <w:proofErr w:type="spellEnd"/>
          </w:p>
        </w:tc>
        <w:tc>
          <w:tcPr>
            <w:tcW w:w="2694" w:type="dxa"/>
          </w:tcPr>
          <w:p w:rsidR="00C46745" w:rsidRDefault="00C46745" w:rsidP="0096486C">
            <w:pPr>
              <w:jc w:val="both"/>
              <w:rPr>
                <w:rFonts w:ascii="Arial" w:hAnsi="Arial" w:cs="Arial"/>
                <w:sz w:val="16"/>
                <w:szCs w:val="16"/>
              </w:rPr>
            </w:pPr>
          </w:p>
          <w:p w:rsidR="0028732A" w:rsidRDefault="004667EF" w:rsidP="0096486C">
            <w:pPr>
              <w:jc w:val="both"/>
              <w:rPr>
                <w:rFonts w:ascii="Arial" w:hAnsi="Arial" w:cs="Arial"/>
                <w:sz w:val="16"/>
                <w:szCs w:val="16"/>
              </w:rPr>
            </w:pPr>
            <w:r>
              <w:rPr>
                <w:rFonts w:ascii="Arial" w:hAnsi="Arial" w:cs="Arial"/>
                <w:sz w:val="16"/>
                <w:szCs w:val="16"/>
              </w:rPr>
              <w:t>F</w:t>
            </w:r>
            <w:r w:rsidR="00E14F9E">
              <w:rPr>
                <w:rFonts w:ascii="Arial" w:hAnsi="Arial" w:cs="Arial"/>
                <w:sz w:val="16"/>
                <w:szCs w:val="16"/>
              </w:rPr>
              <w:t>re</w:t>
            </w:r>
            <w:r>
              <w:rPr>
                <w:rFonts w:ascii="Arial" w:hAnsi="Arial" w:cs="Arial"/>
                <w:sz w:val="16"/>
                <w:szCs w:val="16"/>
              </w:rPr>
              <w:t>cuentes: reacción alérgica local, hiperamonemia, fibrinógeno bajo.</w:t>
            </w:r>
          </w:p>
          <w:p w:rsidR="004667EF" w:rsidRDefault="004667EF" w:rsidP="0096486C">
            <w:pPr>
              <w:jc w:val="both"/>
              <w:rPr>
                <w:rFonts w:ascii="Arial" w:hAnsi="Arial" w:cs="Arial"/>
                <w:sz w:val="16"/>
                <w:szCs w:val="16"/>
              </w:rPr>
            </w:pPr>
            <w:r>
              <w:rPr>
                <w:rFonts w:ascii="Arial" w:hAnsi="Arial" w:cs="Arial"/>
                <w:sz w:val="16"/>
                <w:szCs w:val="16"/>
              </w:rPr>
              <w:t xml:space="preserve">Ocasionales: erupción, hiperglucemia (tratar con insulina si es necesario), pruebas de función hepáticas anormales, </w:t>
            </w:r>
            <w:r w:rsidR="001D53EF">
              <w:rPr>
                <w:rFonts w:ascii="Arial" w:hAnsi="Arial" w:cs="Arial"/>
                <w:sz w:val="16"/>
                <w:szCs w:val="16"/>
              </w:rPr>
              <w:t>anomalías de la coagulación.</w:t>
            </w:r>
          </w:p>
          <w:p w:rsidR="001D53EF" w:rsidRPr="00035BF7" w:rsidRDefault="001D53EF" w:rsidP="0096486C">
            <w:pPr>
              <w:jc w:val="both"/>
              <w:rPr>
                <w:rFonts w:ascii="Arial" w:hAnsi="Arial" w:cs="Arial"/>
                <w:sz w:val="16"/>
                <w:szCs w:val="16"/>
              </w:rPr>
            </w:pPr>
            <w:r>
              <w:rPr>
                <w:rFonts w:ascii="Arial" w:hAnsi="Arial" w:cs="Arial"/>
                <w:sz w:val="16"/>
                <w:szCs w:val="16"/>
              </w:rPr>
              <w:t>Raras: hipersensibilidad con anafilaxia, nauseas, vómito, anorexia, somnolencia, aletargamiento, pancreatitis, convulsiones, trombosis, edema, ataque isquémico cerebrovascular, compromiso renal.</w:t>
            </w:r>
          </w:p>
        </w:tc>
        <w:tc>
          <w:tcPr>
            <w:tcW w:w="2268" w:type="dxa"/>
          </w:tcPr>
          <w:p w:rsidR="00C46745" w:rsidRDefault="00C46745" w:rsidP="0096486C">
            <w:pPr>
              <w:jc w:val="both"/>
              <w:rPr>
                <w:rFonts w:ascii="Arial" w:hAnsi="Arial" w:cs="Arial"/>
                <w:sz w:val="16"/>
                <w:szCs w:val="16"/>
              </w:rPr>
            </w:pPr>
          </w:p>
          <w:p w:rsidR="0028732A" w:rsidRPr="00035BF7" w:rsidRDefault="001D53EF" w:rsidP="0096486C">
            <w:pPr>
              <w:jc w:val="both"/>
              <w:rPr>
                <w:rFonts w:ascii="Arial" w:hAnsi="Arial" w:cs="Arial"/>
                <w:sz w:val="16"/>
                <w:szCs w:val="16"/>
              </w:rPr>
            </w:pPr>
            <w:r>
              <w:rPr>
                <w:rFonts w:ascii="Arial" w:hAnsi="Arial" w:cs="Arial"/>
                <w:sz w:val="16"/>
                <w:szCs w:val="16"/>
              </w:rPr>
              <w:t>Las anomalías de la coagulación ponen al niño en riesgo de formación de trombos o hemorragias.</w:t>
            </w:r>
          </w:p>
        </w:tc>
        <w:tc>
          <w:tcPr>
            <w:tcW w:w="4819" w:type="dxa"/>
          </w:tcPr>
          <w:p w:rsidR="00C46745" w:rsidRDefault="00C46745" w:rsidP="0096486C">
            <w:pPr>
              <w:jc w:val="both"/>
              <w:rPr>
                <w:rFonts w:ascii="Arial" w:hAnsi="Arial" w:cs="Arial"/>
                <w:sz w:val="16"/>
                <w:szCs w:val="16"/>
              </w:rPr>
            </w:pPr>
          </w:p>
          <w:p w:rsidR="0028732A" w:rsidRDefault="001D53EF" w:rsidP="0096486C">
            <w:pPr>
              <w:jc w:val="both"/>
              <w:rPr>
                <w:rFonts w:ascii="Arial" w:hAnsi="Arial" w:cs="Arial"/>
                <w:sz w:val="16"/>
                <w:szCs w:val="16"/>
              </w:rPr>
            </w:pPr>
            <w:r>
              <w:rPr>
                <w:rFonts w:ascii="Arial" w:hAnsi="Arial" w:cs="Arial"/>
                <w:sz w:val="16"/>
                <w:szCs w:val="16"/>
              </w:rPr>
              <w:t>Tener equipo para emergencias y fármacos disponibles en la unidad.</w:t>
            </w:r>
          </w:p>
          <w:p w:rsidR="001D53EF" w:rsidRDefault="001D53EF" w:rsidP="0096486C">
            <w:pPr>
              <w:jc w:val="both"/>
              <w:rPr>
                <w:rFonts w:ascii="Arial" w:hAnsi="Arial" w:cs="Arial"/>
                <w:sz w:val="16"/>
                <w:szCs w:val="16"/>
              </w:rPr>
            </w:pPr>
            <w:r>
              <w:rPr>
                <w:rFonts w:ascii="Arial" w:hAnsi="Arial" w:cs="Arial"/>
                <w:sz w:val="16"/>
                <w:szCs w:val="16"/>
              </w:rPr>
              <w:t>Monitorear los estudios de coagulación.</w:t>
            </w:r>
          </w:p>
          <w:p w:rsidR="001D53EF" w:rsidRDefault="001D53EF" w:rsidP="0096486C">
            <w:pPr>
              <w:jc w:val="both"/>
              <w:rPr>
                <w:rFonts w:ascii="Arial" w:hAnsi="Arial" w:cs="Arial"/>
                <w:sz w:val="16"/>
                <w:szCs w:val="16"/>
              </w:rPr>
            </w:pPr>
            <w:r>
              <w:rPr>
                <w:rFonts w:ascii="Arial" w:hAnsi="Arial" w:cs="Arial"/>
                <w:sz w:val="16"/>
                <w:szCs w:val="16"/>
              </w:rPr>
              <w:t>Prueba de tira reactiva</w:t>
            </w:r>
            <w:r w:rsidR="008C5513">
              <w:rPr>
                <w:rFonts w:ascii="Arial" w:hAnsi="Arial" w:cs="Arial"/>
                <w:sz w:val="16"/>
                <w:szCs w:val="16"/>
              </w:rPr>
              <w:t xml:space="preserve"> </w:t>
            </w:r>
            <w:r>
              <w:rPr>
                <w:rFonts w:ascii="Arial" w:hAnsi="Arial" w:cs="Arial"/>
                <w:sz w:val="16"/>
                <w:szCs w:val="16"/>
              </w:rPr>
              <w:t>en orina para determinar niveles de glucosa/cetonas.</w:t>
            </w:r>
          </w:p>
          <w:p w:rsidR="001D53EF" w:rsidRDefault="001D53EF" w:rsidP="0096486C">
            <w:pPr>
              <w:jc w:val="both"/>
              <w:rPr>
                <w:rFonts w:ascii="Arial" w:hAnsi="Arial" w:cs="Arial"/>
                <w:sz w:val="16"/>
                <w:szCs w:val="16"/>
              </w:rPr>
            </w:pPr>
            <w:r>
              <w:rPr>
                <w:rFonts w:ascii="Arial" w:hAnsi="Arial" w:cs="Arial"/>
                <w:sz w:val="16"/>
                <w:szCs w:val="16"/>
              </w:rPr>
              <w:t>Observar al paciente durante 60 minutos después de la administración de la dosis.</w:t>
            </w:r>
          </w:p>
          <w:p w:rsidR="001D53EF" w:rsidRPr="00035BF7" w:rsidRDefault="001D53EF" w:rsidP="0096486C">
            <w:pPr>
              <w:jc w:val="both"/>
              <w:rPr>
                <w:rFonts w:ascii="Arial" w:hAnsi="Arial" w:cs="Arial"/>
                <w:sz w:val="16"/>
                <w:szCs w:val="16"/>
              </w:rPr>
            </w:pPr>
            <w:r>
              <w:rPr>
                <w:rFonts w:ascii="Arial" w:hAnsi="Arial" w:cs="Arial"/>
                <w:sz w:val="16"/>
                <w:szCs w:val="16"/>
              </w:rPr>
              <w:t>La dosis intramuscular de pegaspargasa puede d</w:t>
            </w:r>
            <w:r w:rsidR="008C5513">
              <w:rPr>
                <w:rFonts w:ascii="Arial" w:hAnsi="Arial" w:cs="Arial"/>
                <w:sz w:val="16"/>
                <w:szCs w:val="16"/>
              </w:rPr>
              <w:t>ividirse en dos o más jeringas.</w:t>
            </w:r>
          </w:p>
        </w:tc>
      </w:tr>
    </w:tbl>
    <w:p w:rsidR="0028732A" w:rsidRDefault="0028732A" w:rsidP="0096486C">
      <w:pPr>
        <w:jc w:val="both"/>
        <w:rPr>
          <w:rFonts w:ascii="Arial" w:hAnsi="Arial" w:cs="Arial"/>
          <w:sz w:val="24"/>
          <w:szCs w:val="24"/>
        </w:rPr>
      </w:pPr>
    </w:p>
    <w:p w:rsidR="008C5513" w:rsidRDefault="008C5513" w:rsidP="0096486C">
      <w:pPr>
        <w:jc w:val="both"/>
        <w:rPr>
          <w:rFonts w:ascii="Arial" w:hAnsi="Arial" w:cs="Arial"/>
          <w:sz w:val="24"/>
          <w:szCs w:val="24"/>
        </w:rPr>
      </w:pPr>
    </w:p>
    <w:p w:rsidR="008C5513" w:rsidRDefault="008C5513" w:rsidP="0096486C">
      <w:pPr>
        <w:jc w:val="both"/>
        <w:rPr>
          <w:rFonts w:ascii="Arial" w:hAnsi="Arial" w:cs="Arial"/>
          <w:sz w:val="24"/>
          <w:szCs w:val="24"/>
        </w:rPr>
      </w:pPr>
    </w:p>
    <w:p w:rsidR="008C5513" w:rsidRDefault="008C5513" w:rsidP="0096486C">
      <w:pPr>
        <w:jc w:val="both"/>
        <w:rPr>
          <w:rFonts w:ascii="Arial" w:hAnsi="Arial" w:cs="Arial"/>
          <w:sz w:val="24"/>
          <w:szCs w:val="24"/>
        </w:rPr>
      </w:pPr>
    </w:p>
    <w:p w:rsidR="008C5513" w:rsidRDefault="008C5513" w:rsidP="0096486C">
      <w:pPr>
        <w:jc w:val="both"/>
        <w:rPr>
          <w:rFonts w:ascii="Arial" w:hAnsi="Arial" w:cs="Arial"/>
          <w:sz w:val="24"/>
          <w:szCs w:val="24"/>
        </w:rPr>
      </w:pPr>
    </w:p>
    <w:p w:rsidR="008C5513" w:rsidRDefault="008C5513" w:rsidP="008C5513">
      <w:pPr>
        <w:jc w:val="both"/>
        <w:rPr>
          <w:rFonts w:ascii="Arial" w:hAnsi="Arial" w:cs="Arial"/>
          <w:sz w:val="24"/>
          <w:szCs w:val="24"/>
        </w:rPr>
      </w:pPr>
      <w:r>
        <w:rPr>
          <w:rFonts w:ascii="Arial" w:hAnsi="Arial" w:cs="Arial"/>
          <w:sz w:val="24"/>
          <w:szCs w:val="24"/>
        </w:rPr>
        <w:lastRenderedPageBreak/>
        <w:t>Tabla 1 Agentes quimioterapéuticos</w:t>
      </w:r>
    </w:p>
    <w:tbl>
      <w:tblPr>
        <w:tblStyle w:val="Tablaconcuadrcula"/>
        <w:tblW w:w="13291" w:type="dxa"/>
        <w:tblLayout w:type="fixed"/>
        <w:tblLook w:val="04A0" w:firstRow="1" w:lastRow="0" w:firstColumn="1" w:lastColumn="0" w:noHBand="0" w:noVBand="1"/>
      </w:tblPr>
      <w:tblGrid>
        <w:gridCol w:w="1242"/>
        <w:gridCol w:w="1418"/>
        <w:gridCol w:w="850"/>
        <w:gridCol w:w="2694"/>
        <w:gridCol w:w="2835"/>
        <w:gridCol w:w="4252"/>
      </w:tblGrid>
      <w:tr w:rsidR="008C5513" w:rsidTr="00C11C9E">
        <w:tc>
          <w:tcPr>
            <w:tcW w:w="1242" w:type="dxa"/>
          </w:tcPr>
          <w:p w:rsidR="008C5513" w:rsidRPr="0028732A" w:rsidRDefault="008C5513" w:rsidP="00FD331F">
            <w:pPr>
              <w:jc w:val="both"/>
              <w:rPr>
                <w:rFonts w:ascii="Arial" w:hAnsi="Arial" w:cs="Arial"/>
                <w:sz w:val="20"/>
                <w:szCs w:val="20"/>
              </w:rPr>
            </w:pPr>
            <w:r w:rsidRPr="0028732A">
              <w:rPr>
                <w:rFonts w:ascii="Arial" w:hAnsi="Arial" w:cs="Arial"/>
                <w:sz w:val="20"/>
                <w:szCs w:val="20"/>
              </w:rPr>
              <w:t>fármaco</w:t>
            </w:r>
          </w:p>
        </w:tc>
        <w:tc>
          <w:tcPr>
            <w:tcW w:w="1418" w:type="dxa"/>
          </w:tcPr>
          <w:p w:rsidR="008C5513" w:rsidRPr="0028732A" w:rsidRDefault="008C5513" w:rsidP="00FD331F">
            <w:pPr>
              <w:jc w:val="both"/>
              <w:rPr>
                <w:rFonts w:ascii="Arial" w:hAnsi="Arial" w:cs="Arial"/>
                <w:sz w:val="20"/>
                <w:szCs w:val="20"/>
              </w:rPr>
            </w:pPr>
            <w:r w:rsidRPr="0028732A">
              <w:rPr>
                <w:rFonts w:ascii="Arial" w:hAnsi="Arial" w:cs="Arial"/>
                <w:sz w:val="20"/>
                <w:szCs w:val="20"/>
              </w:rPr>
              <w:t xml:space="preserve">Clasificación </w:t>
            </w:r>
          </w:p>
        </w:tc>
        <w:tc>
          <w:tcPr>
            <w:tcW w:w="850" w:type="dxa"/>
          </w:tcPr>
          <w:p w:rsidR="008C5513" w:rsidRPr="0028732A" w:rsidRDefault="008C5513" w:rsidP="00FD331F">
            <w:pPr>
              <w:jc w:val="both"/>
              <w:rPr>
                <w:rFonts w:ascii="Arial" w:hAnsi="Arial" w:cs="Arial"/>
                <w:sz w:val="20"/>
                <w:szCs w:val="20"/>
              </w:rPr>
            </w:pPr>
            <w:r w:rsidRPr="0028732A">
              <w:rPr>
                <w:rFonts w:ascii="Arial" w:hAnsi="Arial" w:cs="Arial"/>
                <w:sz w:val="20"/>
                <w:szCs w:val="20"/>
              </w:rPr>
              <w:t xml:space="preserve">Vía de </w:t>
            </w:r>
            <w:r>
              <w:rPr>
                <w:rFonts w:ascii="Arial" w:hAnsi="Arial" w:cs="Arial"/>
                <w:sz w:val="20"/>
                <w:szCs w:val="20"/>
              </w:rPr>
              <w:t>adm.</w:t>
            </w:r>
            <w:r w:rsidRPr="0028732A">
              <w:rPr>
                <w:rFonts w:ascii="Arial" w:hAnsi="Arial" w:cs="Arial"/>
                <w:sz w:val="20"/>
                <w:szCs w:val="20"/>
              </w:rPr>
              <w:t xml:space="preserve"> </w:t>
            </w:r>
          </w:p>
        </w:tc>
        <w:tc>
          <w:tcPr>
            <w:tcW w:w="2694" w:type="dxa"/>
          </w:tcPr>
          <w:p w:rsidR="008C5513" w:rsidRPr="0028732A" w:rsidRDefault="008C5513" w:rsidP="00FD331F">
            <w:pPr>
              <w:jc w:val="both"/>
              <w:rPr>
                <w:rFonts w:ascii="Arial" w:hAnsi="Arial" w:cs="Arial"/>
                <w:sz w:val="20"/>
                <w:szCs w:val="20"/>
              </w:rPr>
            </w:pPr>
            <w:r w:rsidRPr="0028732A">
              <w:rPr>
                <w:rFonts w:ascii="Arial" w:hAnsi="Arial" w:cs="Arial"/>
                <w:sz w:val="20"/>
                <w:szCs w:val="20"/>
              </w:rPr>
              <w:t>Efectos secundarios</w:t>
            </w:r>
          </w:p>
        </w:tc>
        <w:tc>
          <w:tcPr>
            <w:tcW w:w="2835" w:type="dxa"/>
          </w:tcPr>
          <w:p w:rsidR="008C5513" w:rsidRPr="0028732A" w:rsidRDefault="008C5513" w:rsidP="00FD331F">
            <w:pPr>
              <w:jc w:val="both"/>
              <w:rPr>
                <w:rFonts w:ascii="Arial" w:hAnsi="Arial" w:cs="Arial"/>
                <w:sz w:val="20"/>
                <w:szCs w:val="20"/>
              </w:rPr>
            </w:pPr>
            <w:r w:rsidRPr="0028732A">
              <w:rPr>
                <w:rFonts w:ascii="Arial" w:hAnsi="Arial" w:cs="Arial"/>
                <w:sz w:val="20"/>
                <w:szCs w:val="20"/>
              </w:rPr>
              <w:t>Consideraciones especiales</w:t>
            </w:r>
          </w:p>
        </w:tc>
        <w:tc>
          <w:tcPr>
            <w:tcW w:w="4252" w:type="dxa"/>
          </w:tcPr>
          <w:p w:rsidR="008C5513" w:rsidRPr="0028732A" w:rsidRDefault="008C5513" w:rsidP="00FD331F">
            <w:pPr>
              <w:jc w:val="both"/>
              <w:rPr>
                <w:rFonts w:ascii="Arial" w:hAnsi="Arial" w:cs="Arial"/>
                <w:sz w:val="20"/>
                <w:szCs w:val="20"/>
              </w:rPr>
            </w:pPr>
            <w:r w:rsidRPr="0028732A">
              <w:rPr>
                <w:rFonts w:ascii="Arial" w:hAnsi="Arial" w:cs="Arial"/>
                <w:sz w:val="20"/>
                <w:szCs w:val="20"/>
              </w:rPr>
              <w:t>Acciones de enfermería</w:t>
            </w:r>
          </w:p>
        </w:tc>
      </w:tr>
      <w:tr w:rsidR="008C5513" w:rsidTr="00C11C9E">
        <w:tc>
          <w:tcPr>
            <w:tcW w:w="1242" w:type="dxa"/>
          </w:tcPr>
          <w:p w:rsidR="000B65F8" w:rsidRDefault="000B65F8" w:rsidP="00FD331F">
            <w:pPr>
              <w:jc w:val="both"/>
              <w:rPr>
                <w:rFonts w:ascii="Arial" w:hAnsi="Arial" w:cs="Arial"/>
                <w:sz w:val="16"/>
                <w:szCs w:val="16"/>
              </w:rPr>
            </w:pPr>
          </w:p>
          <w:p w:rsidR="008C5513" w:rsidRPr="00035BF7" w:rsidRDefault="008C5513" w:rsidP="00FD331F">
            <w:pPr>
              <w:jc w:val="both"/>
              <w:rPr>
                <w:rFonts w:ascii="Arial" w:hAnsi="Arial" w:cs="Arial"/>
                <w:sz w:val="16"/>
                <w:szCs w:val="16"/>
              </w:rPr>
            </w:pPr>
            <w:r>
              <w:rPr>
                <w:rFonts w:ascii="Arial" w:hAnsi="Arial" w:cs="Arial"/>
                <w:sz w:val="16"/>
                <w:szCs w:val="16"/>
              </w:rPr>
              <w:t>Sulfato de bleomicina</w:t>
            </w:r>
          </w:p>
        </w:tc>
        <w:tc>
          <w:tcPr>
            <w:tcW w:w="1418" w:type="dxa"/>
          </w:tcPr>
          <w:p w:rsidR="000B65F8" w:rsidRDefault="000B65F8" w:rsidP="00FD331F">
            <w:pPr>
              <w:jc w:val="both"/>
              <w:rPr>
                <w:rFonts w:ascii="Arial" w:hAnsi="Arial" w:cs="Arial"/>
                <w:sz w:val="16"/>
                <w:szCs w:val="16"/>
              </w:rPr>
            </w:pPr>
          </w:p>
          <w:p w:rsidR="008C5513" w:rsidRPr="00035BF7" w:rsidRDefault="008C5513" w:rsidP="00FD331F">
            <w:pPr>
              <w:jc w:val="both"/>
              <w:rPr>
                <w:rFonts w:ascii="Arial" w:hAnsi="Arial" w:cs="Arial"/>
                <w:sz w:val="16"/>
                <w:szCs w:val="16"/>
              </w:rPr>
            </w:pPr>
            <w:r>
              <w:rPr>
                <w:rFonts w:ascii="Arial" w:hAnsi="Arial" w:cs="Arial"/>
                <w:sz w:val="16"/>
                <w:szCs w:val="16"/>
              </w:rPr>
              <w:t>antibiótico</w:t>
            </w:r>
          </w:p>
        </w:tc>
        <w:tc>
          <w:tcPr>
            <w:tcW w:w="850" w:type="dxa"/>
          </w:tcPr>
          <w:p w:rsidR="000B65F8" w:rsidRDefault="000B65F8" w:rsidP="00FD331F">
            <w:pPr>
              <w:jc w:val="both"/>
              <w:rPr>
                <w:rFonts w:ascii="Arial" w:hAnsi="Arial" w:cs="Arial"/>
                <w:sz w:val="16"/>
                <w:szCs w:val="16"/>
              </w:rPr>
            </w:pPr>
          </w:p>
          <w:p w:rsidR="008C5513" w:rsidRPr="00035BF7" w:rsidRDefault="0079344B" w:rsidP="00FD331F">
            <w:pPr>
              <w:jc w:val="both"/>
              <w:rPr>
                <w:rFonts w:ascii="Arial" w:hAnsi="Arial" w:cs="Arial"/>
                <w:sz w:val="16"/>
                <w:szCs w:val="16"/>
              </w:rPr>
            </w:pPr>
            <w:r>
              <w:rPr>
                <w:rFonts w:ascii="Arial" w:hAnsi="Arial" w:cs="Arial"/>
                <w:sz w:val="16"/>
                <w:szCs w:val="16"/>
              </w:rPr>
              <w:t>IV,  IM, SC</w:t>
            </w:r>
          </w:p>
        </w:tc>
        <w:tc>
          <w:tcPr>
            <w:tcW w:w="2694" w:type="dxa"/>
          </w:tcPr>
          <w:p w:rsidR="000B65F8" w:rsidRDefault="000B65F8" w:rsidP="00FD331F">
            <w:pPr>
              <w:jc w:val="both"/>
              <w:rPr>
                <w:rFonts w:ascii="Arial" w:hAnsi="Arial" w:cs="Arial"/>
                <w:sz w:val="16"/>
                <w:szCs w:val="16"/>
              </w:rPr>
            </w:pPr>
          </w:p>
          <w:p w:rsidR="008C5513" w:rsidRDefault="008C5513" w:rsidP="00FD331F">
            <w:pPr>
              <w:jc w:val="both"/>
              <w:rPr>
                <w:rFonts w:ascii="Arial" w:hAnsi="Arial" w:cs="Arial"/>
                <w:sz w:val="16"/>
                <w:szCs w:val="16"/>
              </w:rPr>
            </w:pPr>
            <w:r>
              <w:rPr>
                <w:rFonts w:ascii="Arial" w:hAnsi="Arial" w:cs="Arial"/>
                <w:sz w:val="16"/>
                <w:szCs w:val="16"/>
              </w:rPr>
              <w:t>Frecuentes: estomatitis, hiperpigmentación de las uñas de las manos.</w:t>
            </w:r>
          </w:p>
          <w:p w:rsidR="00AC454B" w:rsidRDefault="00AC454B" w:rsidP="00FD331F">
            <w:pPr>
              <w:jc w:val="both"/>
              <w:rPr>
                <w:rFonts w:ascii="Arial" w:hAnsi="Arial" w:cs="Arial"/>
                <w:sz w:val="16"/>
                <w:szCs w:val="16"/>
              </w:rPr>
            </w:pPr>
          </w:p>
          <w:p w:rsidR="008C5513" w:rsidRDefault="008C5513" w:rsidP="00FD331F">
            <w:pPr>
              <w:jc w:val="both"/>
              <w:rPr>
                <w:rFonts w:ascii="Arial" w:hAnsi="Arial" w:cs="Arial"/>
                <w:sz w:val="16"/>
                <w:szCs w:val="16"/>
              </w:rPr>
            </w:pPr>
            <w:r>
              <w:rPr>
                <w:rFonts w:ascii="Arial" w:hAnsi="Arial" w:cs="Arial"/>
                <w:sz w:val="16"/>
                <w:szCs w:val="16"/>
              </w:rPr>
              <w:t>Ocasionales: eritema acral</w:t>
            </w:r>
            <w:r w:rsidR="00C46745">
              <w:rPr>
                <w:rFonts w:ascii="Arial" w:hAnsi="Arial" w:cs="Arial"/>
                <w:sz w:val="16"/>
                <w:szCs w:val="16"/>
              </w:rPr>
              <w:t>, eritema sobre prominencias óseas, neumonitis.</w:t>
            </w:r>
          </w:p>
          <w:p w:rsidR="00AC454B" w:rsidRDefault="00AC454B" w:rsidP="00FD331F">
            <w:pPr>
              <w:jc w:val="both"/>
              <w:rPr>
                <w:rFonts w:ascii="Arial" w:hAnsi="Arial" w:cs="Arial"/>
                <w:sz w:val="16"/>
                <w:szCs w:val="16"/>
              </w:rPr>
            </w:pPr>
          </w:p>
          <w:p w:rsidR="00C46745" w:rsidRDefault="00C46745" w:rsidP="00FD331F">
            <w:pPr>
              <w:jc w:val="both"/>
              <w:rPr>
                <w:rFonts w:ascii="Arial" w:hAnsi="Arial" w:cs="Arial"/>
                <w:sz w:val="16"/>
                <w:szCs w:val="16"/>
              </w:rPr>
            </w:pPr>
            <w:r>
              <w:rPr>
                <w:rFonts w:ascii="Arial" w:hAnsi="Arial" w:cs="Arial"/>
                <w:sz w:val="16"/>
                <w:szCs w:val="16"/>
              </w:rPr>
              <w:t>Raros: anafilaxia, hipotensión, nauseas, vomito, anorexia, erupción, mucositis, fibrosis pulmonar, insuficiencia renal, fiebre alta 2-6 horas después de la administración.</w:t>
            </w:r>
          </w:p>
          <w:p w:rsidR="00C46745" w:rsidRDefault="00C46745" w:rsidP="00FD331F">
            <w:pPr>
              <w:jc w:val="both"/>
              <w:rPr>
                <w:rFonts w:ascii="Arial" w:hAnsi="Arial" w:cs="Arial"/>
                <w:sz w:val="16"/>
                <w:szCs w:val="16"/>
              </w:rPr>
            </w:pPr>
          </w:p>
          <w:p w:rsidR="008C5513" w:rsidRPr="00035BF7" w:rsidRDefault="008C5513" w:rsidP="00FD331F">
            <w:pPr>
              <w:jc w:val="both"/>
              <w:rPr>
                <w:rFonts w:ascii="Arial" w:hAnsi="Arial" w:cs="Arial"/>
                <w:sz w:val="16"/>
                <w:szCs w:val="16"/>
              </w:rPr>
            </w:pPr>
          </w:p>
        </w:tc>
        <w:tc>
          <w:tcPr>
            <w:tcW w:w="2835" w:type="dxa"/>
          </w:tcPr>
          <w:p w:rsidR="000B65F8" w:rsidRDefault="000B65F8" w:rsidP="00FD331F">
            <w:pPr>
              <w:jc w:val="both"/>
              <w:rPr>
                <w:rFonts w:ascii="Arial" w:hAnsi="Arial" w:cs="Arial"/>
                <w:sz w:val="16"/>
                <w:szCs w:val="16"/>
              </w:rPr>
            </w:pPr>
          </w:p>
          <w:p w:rsidR="008C5513" w:rsidRDefault="00BC44E7" w:rsidP="00FD331F">
            <w:pPr>
              <w:jc w:val="both"/>
              <w:rPr>
                <w:rFonts w:ascii="Arial" w:hAnsi="Arial" w:cs="Arial"/>
                <w:sz w:val="16"/>
                <w:szCs w:val="16"/>
              </w:rPr>
            </w:pPr>
            <w:r>
              <w:rPr>
                <w:rFonts w:ascii="Arial" w:hAnsi="Arial" w:cs="Arial"/>
                <w:sz w:val="16"/>
                <w:szCs w:val="16"/>
              </w:rPr>
              <w:t>Reacciones anafilactoides mortales con fiebre alta e hipotensión.</w:t>
            </w:r>
          </w:p>
          <w:p w:rsidR="00BC44E7" w:rsidRPr="00035BF7" w:rsidRDefault="00BC44E7" w:rsidP="00BC44E7">
            <w:pPr>
              <w:jc w:val="both"/>
              <w:rPr>
                <w:rFonts w:ascii="Arial" w:hAnsi="Arial" w:cs="Arial"/>
                <w:sz w:val="16"/>
                <w:szCs w:val="16"/>
              </w:rPr>
            </w:pPr>
            <w:r>
              <w:rPr>
                <w:rFonts w:ascii="Arial" w:hAnsi="Arial" w:cs="Arial"/>
                <w:sz w:val="16"/>
                <w:szCs w:val="16"/>
              </w:rPr>
              <w:t>Puede que sea necesario una dosis más baja cuando se administra radioterapia pulmonar; las pruebas de la función hepática se lleva a cabo al inicio, durante toda l</w:t>
            </w:r>
            <w:r w:rsidR="000B65F8">
              <w:rPr>
                <w:rFonts w:ascii="Arial" w:hAnsi="Arial" w:cs="Arial"/>
                <w:sz w:val="16"/>
                <w:szCs w:val="16"/>
              </w:rPr>
              <w:t xml:space="preserve">a terapia y durante </w:t>
            </w:r>
            <w:r>
              <w:rPr>
                <w:rFonts w:ascii="Arial" w:hAnsi="Arial" w:cs="Arial"/>
                <w:sz w:val="16"/>
                <w:szCs w:val="16"/>
              </w:rPr>
              <w:t xml:space="preserve"> un tiempo después de la terapia; los pacientes pueden desarrollar fibrosis pulmonar con capacidad disminuida de difusión en cualquier momento durante y después de la quimio </w:t>
            </w:r>
          </w:p>
        </w:tc>
        <w:tc>
          <w:tcPr>
            <w:tcW w:w="4252" w:type="dxa"/>
          </w:tcPr>
          <w:p w:rsidR="000B65F8" w:rsidRDefault="000B65F8" w:rsidP="00FD331F">
            <w:pPr>
              <w:jc w:val="both"/>
              <w:rPr>
                <w:rFonts w:ascii="Arial" w:hAnsi="Arial" w:cs="Arial"/>
                <w:sz w:val="16"/>
                <w:szCs w:val="16"/>
              </w:rPr>
            </w:pPr>
          </w:p>
          <w:p w:rsidR="008C5513" w:rsidRDefault="00BC44E7" w:rsidP="00FD331F">
            <w:pPr>
              <w:jc w:val="both"/>
              <w:rPr>
                <w:rFonts w:ascii="Arial" w:hAnsi="Arial" w:cs="Arial"/>
                <w:sz w:val="16"/>
                <w:szCs w:val="16"/>
              </w:rPr>
            </w:pPr>
            <w:r>
              <w:rPr>
                <w:rFonts w:ascii="Arial" w:hAnsi="Arial" w:cs="Arial"/>
                <w:sz w:val="16"/>
                <w:szCs w:val="16"/>
              </w:rPr>
              <w:t xml:space="preserve">Administrar una dosis </w:t>
            </w:r>
            <w:r w:rsidR="005B6AE5">
              <w:rPr>
                <w:rFonts w:ascii="Arial" w:hAnsi="Arial" w:cs="Arial"/>
                <w:sz w:val="16"/>
                <w:szCs w:val="16"/>
              </w:rPr>
              <w:t>de prueba IM de 1-2 unidades; esperar 1 hora y administrar el resto de la dosis; tener</w:t>
            </w:r>
            <w:r w:rsidR="000B65F8">
              <w:rPr>
                <w:rFonts w:ascii="Arial" w:hAnsi="Arial" w:cs="Arial"/>
                <w:sz w:val="16"/>
                <w:szCs w:val="16"/>
              </w:rPr>
              <w:t xml:space="preserve"> el equipo</w:t>
            </w:r>
            <w:r w:rsidR="005B6AE5">
              <w:rPr>
                <w:rFonts w:ascii="Arial" w:hAnsi="Arial" w:cs="Arial"/>
                <w:sz w:val="16"/>
                <w:szCs w:val="16"/>
              </w:rPr>
              <w:t xml:space="preserve"> para emergencias a la </w:t>
            </w:r>
            <w:r w:rsidR="000B65F8">
              <w:rPr>
                <w:rFonts w:ascii="Arial" w:hAnsi="Arial" w:cs="Arial"/>
                <w:sz w:val="16"/>
                <w:szCs w:val="16"/>
              </w:rPr>
              <w:t>m</w:t>
            </w:r>
            <w:r w:rsidR="005B6AE5">
              <w:rPr>
                <w:rFonts w:ascii="Arial" w:hAnsi="Arial" w:cs="Arial"/>
                <w:sz w:val="16"/>
                <w:szCs w:val="16"/>
              </w:rPr>
              <w:t>ano durante la dosis de prueba.</w:t>
            </w:r>
          </w:p>
          <w:p w:rsidR="005B6AE5" w:rsidRDefault="005B6AE5" w:rsidP="00FD331F">
            <w:pPr>
              <w:jc w:val="both"/>
              <w:rPr>
                <w:rFonts w:ascii="Arial" w:hAnsi="Arial" w:cs="Arial"/>
                <w:sz w:val="16"/>
                <w:szCs w:val="16"/>
              </w:rPr>
            </w:pPr>
            <w:r>
              <w:rPr>
                <w:rFonts w:ascii="Arial" w:hAnsi="Arial" w:cs="Arial"/>
                <w:sz w:val="16"/>
                <w:szCs w:val="16"/>
              </w:rPr>
              <w:t>Monitorear las pruebas de la función hepática con regularidad</w:t>
            </w:r>
          </w:p>
          <w:p w:rsidR="005B6AE5" w:rsidRDefault="005B6AE5" w:rsidP="00FD331F">
            <w:pPr>
              <w:jc w:val="both"/>
              <w:rPr>
                <w:rFonts w:ascii="Arial" w:hAnsi="Arial" w:cs="Arial"/>
                <w:sz w:val="16"/>
                <w:szCs w:val="16"/>
              </w:rPr>
            </w:pPr>
            <w:r>
              <w:rPr>
                <w:rFonts w:ascii="Arial" w:hAnsi="Arial" w:cs="Arial"/>
                <w:sz w:val="16"/>
                <w:szCs w:val="16"/>
              </w:rPr>
              <w:t>Si ocurre un problema respiratorio, monitorear al paciente con oximetría de pulso (en reposo y con ejercicio</w:t>
            </w:r>
            <w:proofErr w:type="gramStart"/>
            <w:r>
              <w:rPr>
                <w:rFonts w:ascii="Arial" w:hAnsi="Arial" w:cs="Arial"/>
                <w:sz w:val="16"/>
                <w:szCs w:val="16"/>
              </w:rPr>
              <w:t>) .</w:t>
            </w:r>
            <w:proofErr w:type="gramEnd"/>
          </w:p>
          <w:p w:rsidR="005B6AE5" w:rsidRPr="00035BF7" w:rsidRDefault="005B6AE5" w:rsidP="00FD331F">
            <w:pPr>
              <w:jc w:val="both"/>
              <w:rPr>
                <w:rFonts w:ascii="Arial" w:hAnsi="Arial" w:cs="Arial"/>
                <w:sz w:val="16"/>
                <w:szCs w:val="16"/>
              </w:rPr>
            </w:pPr>
            <w:r>
              <w:rPr>
                <w:rFonts w:ascii="Arial" w:hAnsi="Arial" w:cs="Arial"/>
                <w:sz w:val="16"/>
                <w:szCs w:val="16"/>
              </w:rPr>
              <w:t xml:space="preserve"> </w:t>
            </w:r>
          </w:p>
        </w:tc>
      </w:tr>
      <w:tr w:rsidR="008C5513" w:rsidTr="00C11C9E">
        <w:trPr>
          <w:trHeight w:val="3564"/>
        </w:trPr>
        <w:tc>
          <w:tcPr>
            <w:tcW w:w="1242" w:type="dxa"/>
          </w:tcPr>
          <w:p w:rsidR="000B65F8" w:rsidRDefault="000B65F8" w:rsidP="00FD331F">
            <w:pPr>
              <w:jc w:val="both"/>
              <w:rPr>
                <w:rFonts w:ascii="Arial" w:hAnsi="Arial" w:cs="Arial"/>
                <w:sz w:val="16"/>
                <w:szCs w:val="16"/>
              </w:rPr>
            </w:pPr>
          </w:p>
          <w:p w:rsidR="008C5513" w:rsidRDefault="005B6AE5" w:rsidP="00FD331F">
            <w:pPr>
              <w:jc w:val="both"/>
              <w:rPr>
                <w:rFonts w:ascii="Arial" w:hAnsi="Arial" w:cs="Arial"/>
                <w:sz w:val="16"/>
                <w:szCs w:val="16"/>
              </w:rPr>
            </w:pPr>
            <w:r>
              <w:rPr>
                <w:rFonts w:ascii="Arial" w:hAnsi="Arial" w:cs="Arial"/>
                <w:sz w:val="16"/>
                <w:szCs w:val="16"/>
              </w:rPr>
              <w:t xml:space="preserve">Busulfán </w:t>
            </w:r>
          </w:p>
          <w:p w:rsidR="005B6AE5" w:rsidRPr="00035BF7" w:rsidRDefault="005B6AE5" w:rsidP="00FD331F">
            <w:pPr>
              <w:jc w:val="both"/>
              <w:rPr>
                <w:rFonts w:ascii="Arial" w:hAnsi="Arial" w:cs="Arial"/>
                <w:sz w:val="16"/>
                <w:szCs w:val="16"/>
              </w:rPr>
            </w:pPr>
            <w:r>
              <w:rPr>
                <w:rFonts w:ascii="Arial" w:hAnsi="Arial" w:cs="Arial"/>
                <w:sz w:val="16"/>
                <w:szCs w:val="16"/>
              </w:rPr>
              <w:t>(Myleran)</w:t>
            </w:r>
          </w:p>
        </w:tc>
        <w:tc>
          <w:tcPr>
            <w:tcW w:w="1418" w:type="dxa"/>
          </w:tcPr>
          <w:p w:rsidR="000B65F8" w:rsidRDefault="000B65F8" w:rsidP="00FD331F">
            <w:pPr>
              <w:jc w:val="both"/>
              <w:rPr>
                <w:rFonts w:ascii="Arial" w:hAnsi="Arial" w:cs="Arial"/>
                <w:sz w:val="16"/>
                <w:szCs w:val="16"/>
              </w:rPr>
            </w:pPr>
          </w:p>
          <w:p w:rsidR="008C5513" w:rsidRPr="00035BF7" w:rsidRDefault="00B121E7" w:rsidP="00FD331F">
            <w:pPr>
              <w:jc w:val="both"/>
              <w:rPr>
                <w:rFonts w:ascii="Arial" w:hAnsi="Arial" w:cs="Arial"/>
                <w:sz w:val="16"/>
                <w:szCs w:val="16"/>
              </w:rPr>
            </w:pPr>
            <w:r>
              <w:rPr>
                <w:rFonts w:ascii="Arial" w:hAnsi="Arial" w:cs="Arial"/>
                <w:sz w:val="16"/>
                <w:szCs w:val="16"/>
              </w:rPr>
              <w:t>Agente alcalini</w:t>
            </w:r>
            <w:r w:rsidR="005B6AE5">
              <w:rPr>
                <w:rFonts w:ascii="Arial" w:hAnsi="Arial" w:cs="Arial"/>
                <w:sz w:val="16"/>
                <w:szCs w:val="16"/>
              </w:rPr>
              <w:t xml:space="preserve">zante </w:t>
            </w:r>
          </w:p>
        </w:tc>
        <w:tc>
          <w:tcPr>
            <w:tcW w:w="850" w:type="dxa"/>
          </w:tcPr>
          <w:p w:rsidR="000B65F8" w:rsidRDefault="000B65F8" w:rsidP="00FD331F">
            <w:pPr>
              <w:jc w:val="both"/>
              <w:rPr>
                <w:rFonts w:ascii="Arial" w:hAnsi="Arial" w:cs="Arial"/>
                <w:sz w:val="16"/>
                <w:szCs w:val="16"/>
              </w:rPr>
            </w:pPr>
          </w:p>
          <w:p w:rsidR="008C5513" w:rsidRPr="00035BF7" w:rsidRDefault="000B65F8" w:rsidP="00FD331F">
            <w:pPr>
              <w:jc w:val="both"/>
              <w:rPr>
                <w:rFonts w:ascii="Arial" w:hAnsi="Arial" w:cs="Arial"/>
                <w:sz w:val="16"/>
                <w:szCs w:val="16"/>
              </w:rPr>
            </w:pPr>
            <w:r>
              <w:rPr>
                <w:rFonts w:ascii="Arial" w:hAnsi="Arial" w:cs="Arial"/>
                <w:sz w:val="16"/>
                <w:szCs w:val="16"/>
              </w:rPr>
              <w:t>IV</w:t>
            </w:r>
            <w:r w:rsidR="0079344B">
              <w:rPr>
                <w:rFonts w:ascii="Arial" w:hAnsi="Arial" w:cs="Arial"/>
                <w:sz w:val="16"/>
                <w:szCs w:val="16"/>
              </w:rPr>
              <w:t>, O</w:t>
            </w:r>
            <w:r w:rsidR="005B6AE5">
              <w:rPr>
                <w:rFonts w:ascii="Arial" w:hAnsi="Arial" w:cs="Arial"/>
                <w:sz w:val="16"/>
                <w:szCs w:val="16"/>
              </w:rPr>
              <w:t xml:space="preserve">ral </w:t>
            </w:r>
          </w:p>
        </w:tc>
        <w:tc>
          <w:tcPr>
            <w:tcW w:w="2694" w:type="dxa"/>
          </w:tcPr>
          <w:p w:rsidR="000B65F8" w:rsidRDefault="000B65F8" w:rsidP="00FD331F">
            <w:pPr>
              <w:jc w:val="both"/>
              <w:rPr>
                <w:rFonts w:ascii="Arial" w:hAnsi="Arial" w:cs="Arial"/>
                <w:sz w:val="16"/>
                <w:szCs w:val="16"/>
              </w:rPr>
            </w:pPr>
          </w:p>
          <w:p w:rsidR="008C5513" w:rsidRDefault="005B6AE5" w:rsidP="00FD331F">
            <w:pPr>
              <w:jc w:val="both"/>
              <w:rPr>
                <w:rFonts w:ascii="Arial" w:hAnsi="Arial" w:cs="Arial"/>
                <w:sz w:val="16"/>
                <w:szCs w:val="16"/>
              </w:rPr>
            </w:pPr>
            <w:r>
              <w:rPr>
                <w:rFonts w:ascii="Arial" w:hAnsi="Arial" w:cs="Arial"/>
                <w:sz w:val="16"/>
                <w:szCs w:val="16"/>
              </w:rPr>
              <w:t xml:space="preserve">Frecuentes: </w:t>
            </w:r>
            <w:r w:rsidR="000B65F8">
              <w:rPr>
                <w:rFonts w:ascii="Arial" w:hAnsi="Arial" w:cs="Arial"/>
                <w:sz w:val="16"/>
                <w:szCs w:val="16"/>
              </w:rPr>
              <w:t>mielosupresión</w:t>
            </w:r>
            <w:r>
              <w:rPr>
                <w:rFonts w:ascii="Arial" w:hAnsi="Arial" w:cs="Arial"/>
                <w:sz w:val="16"/>
                <w:szCs w:val="16"/>
              </w:rPr>
              <w:t xml:space="preserve"> (puede ser prolongada), </w:t>
            </w:r>
            <w:r w:rsidR="00B121E7">
              <w:rPr>
                <w:rFonts w:ascii="Arial" w:hAnsi="Arial" w:cs="Arial"/>
                <w:sz w:val="16"/>
                <w:szCs w:val="16"/>
              </w:rPr>
              <w:t>náuseas</w:t>
            </w:r>
            <w:r>
              <w:rPr>
                <w:rFonts w:ascii="Arial" w:hAnsi="Arial" w:cs="Arial"/>
                <w:sz w:val="16"/>
                <w:szCs w:val="16"/>
              </w:rPr>
              <w:t xml:space="preserve"> leves </w:t>
            </w:r>
            <w:r w:rsidR="000B65F8">
              <w:rPr>
                <w:rFonts w:ascii="Arial" w:hAnsi="Arial" w:cs="Arial"/>
                <w:sz w:val="16"/>
                <w:szCs w:val="16"/>
              </w:rPr>
              <w:t>vómito, “bronceado</w:t>
            </w:r>
            <w:r>
              <w:rPr>
                <w:rFonts w:ascii="Arial" w:hAnsi="Arial" w:cs="Arial"/>
                <w:sz w:val="16"/>
                <w:szCs w:val="16"/>
              </w:rPr>
              <w:t>”</w:t>
            </w:r>
            <w:r w:rsidR="00B121E7">
              <w:rPr>
                <w:rFonts w:ascii="Arial" w:hAnsi="Arial" w:cs="Arial"/>
                <w:sz w:val="16"/>
                <w:szCs w:val="16"/>
              </w:rPr>
              <w:t xml:space="preserve"> de la piel.</w:t>
            </w:r>
          </w:p>
          <w:p w:rsidR="00AC454B" w:rsidRDefault="00AC454B" w:rsidP="00FD331F">
            <w:pPr>
              <w:jc w:val="both"/>
              <w:rPr>
                <w:rFonts w:ascii="Arial" w:hAnsi="Arial" w:cs="Arial"/>
                <w:sz w:val="16"/>
                <w:szCs w:val="16"/>
              </w:rPr>
            </w:pPr>
          </w:p>
          <w:p w:rsidR="00B121E7" w:rsidRDefault="00B121E7" w:rsidP="00FD331F">
            <w:pPr>
              <w:jc w:val="both"/>
              <w:rPr>
                <w:rFonts w:ascii="Arial" w:hAnsi="Arial" w:cs="Arial"/>
                <w:sz w:val="16"/>
                <w:szCs w:val="16"/>
              </w:rPr>
            </w:pPr>
            <w:r>
              <w:rPr>
                <w:rFonts w:ascii="Arial" w:hAnsi="Arial" w:cs="Arial"/>
                <w:sz w:val="16"/>
                <w:szCs w:val="16"/>
              </w:rPr>
              <w:t>Ocasionales: convulsiones con administración de la dosis alta, mucositis oral, desintegración de la piel, hipofunción suprarrenal primaria o secundaria.</w:t>
            </w:r>
          </w:p>
          <w:p w:rsidR="00AC454B" w:rsidRDefault="00AC454B" w:rsidP="00FD331F">
            <w:pPr>
              <w:jc w:val="both"/>
              <w:rPr>
                <w:rFonts w:ascii="Arial" w:hAnsi="Arial" w:cs="Arial"/>
                <w:sz w:val="16"/>
                <w:szCs w:val="16"/>
              </w:rPr>
            </w:pPr>
          </w:p>
          <w:p w:rsidR="00B121E7" w:rsidRPr="00035BF7" w:rsidRDefault="00B121E7" w:rsidP="00FD331F">
            <w:pPr>
              <w:jc w:val="both"/>
              <w:rPr>
                <w:rFonts w:ascii="Arial" w:hAnsi="Arial" w:cs="Arial"/>
                <w:sz w:val="16"/>
                <w:szCs w:val="16"/>
              </w:rPr>
            </w:pPr>
            <w:r>
              <w:rPr>
                <w:rFonts w:ascii="Arial" w:hAnsi="Arial" w:cs="Arial"/>
                <w:sz w:val="16"/>
                <w:szCs w:val="16"/>
              </w:rPr>
              <w:t xml:space="preserve">Raros: erupciones, enfermedad venooclusiva (EVO), amenorrea, atrofia testicular, ginecomastia, </w:t>
            </w:r>
            <w:r w:rsidR="00E37EB7">
              <w:rPr>
                <w:rFonts w:ascii="Arial" w:hAnsi="Arial" w:cs="Arial"/>
                <w:sz w:val="16"/>
                <w:szCs w:val="16"/>
              </w:rPr>
              <w:t>síntomas</w:t>
            </w:r>
            <w:r>
              <w:rPr>
                <w:rFonts w:ascii="Arial" w:hAnsi="Arial" w:cs="Arial"/>
                <w:sz w:val="16"/>
                <w:szCs w:val="16"/>
              </w:rPr>
              <w:t xml:space="preserve"> de miastenia, cataratas.  </w:t>
            </w:r>
          </w:p>
        </w:tc>
        <w:tc>
          <w:tcPr>
            <w:tcW w:w="2835" w:type="dxa"/>
          </w:tcPr>
          <w:p w:rsidR="000B65F8" w:rsidRDefault="000B65F8" w:rsidP="00FD331F">
            <w:pPr>
              <w:jc w:val="both"/>
              <w:rPr>
                <w:rFonts w:ascii="Arial" w:hAnsi="Arial" w:cs="Arial"/>
                <w:sz w:val="16"/>
                <w:szCs w:val="16"/>
              </w:rPr>
            </w:pPr>
          </w:p>
          <w:p w:rsidR="008C5513" w:rsidRPr="00035BF7" w:rsidRDefault="00B121E7" w:rsidP="00FD331F">
            <w:pPr>
              <w:jc w:val="both"/>
              <w:rPr>
                <w:rFonts w:ascii="Arial" w:hAnsi="Arial" w:cs="Arial"/>
                <w:sz w:val="16"/>
                <w:szCs w:val="16"/>
              </w:rPr>
            </w:pPr>
            <w:r>
              <w:rPr>
                <w:rFonts w:ascii="Arial" w:hAnsi="Arial" w:cs="Arial"/>
                <w:sz w:val="16"/>
                <w:szCs w:val="16"/>
              </w:rPr>
              <w:t xml:space="preserve">La terapia anticonvulsiva profiláctica puede ser útil en pacientes que reciben dosis altas del fármaco. </w:t>
            </w:r>
          </w:p>
        </w:tc>
        <w:tc>
          <w:tcPr>
            <w:tcW w:w="4252" w:type="dxa"/>
          </w:tcPr>
          <w:p w:rsidR="000B65F8" w:rsidRDefault="000B65F8" w:rsidP="00FD331F">
            <w:pPr>
              <w:jc w:val="both"/>
              <w:rPr>
                <w:rFonts w:ascii="Arial" w:hAnsi="Arial" w:cs="Arial"/>
                <w:sz w:val="16"/>
                <w:szCs w:val="16"/>
              </w:rPr>
            </w:pPr>
          </w:p>
          <w:p w:rsidR="008C5513" w:rsidRDefault="00B121E7" w:rsidP="00FD331F">
            <w:pPr>
              <w:jc w:val="both"/>
              <w:rPr>
                <w:rFonts w:ascii="Arial" w:hAnsi="Arial" w:cs="Arial"/>
                <w:sz w:val="16"/>
                <w:szCs w:val="16"/>
              </w:rPr>
            </w:pPr>
            <w:r>
              <w:rPr>
                <w:rFonts w:ascii="Arial" w:hAnsi="Arial" w:cs="Arial"/>
                <w:sz w:val="16"/>
                <w:szCs w:val="16"/>
              </w:rPr>
              <w:t>Puede triturarse o mezclarse en una lechada; los alimentos pueden retardar la absorción.</w:t>
            </w:r>
          </w:p>
          <w:p w:rsidR="00B121E7" w:rsidRPr="00035BF7" w:rsidRDefault="00B121E7" w:rsidP="00FD331F">
            <w:pPr>
              <w:jc w:val="both"/>
              <w:rPr>
                <w:rFonts w:ascii="Arial" w:hAnsi="Arial" w:cs="Arial"/>
                <w:sz w:val="16"/>
                <w:szCs w:val="16"/>
              </w:rPr>
            </w:pPr>
            <w:r>
              <w:rPr>
                <w:rFonts w:ascii="Arial" w:hAnsi="Arial" w:cs="Arial"/>
                <w:sz w:val="16"/>
                <w:szCs w:val="16"/>
              </w:rPr>
              <w:t>Con frecuencia es necesaria la o</w:t>
            </w:r>
            <w:r w:rsidR="00E37EB7">
              <w:rPr>
                <w:rFonts w:ascii="Arial" w:hAnsi="Arial" w:cs="Arial"/>
                <w:sz w:val="16"/>
                <w:szCs w:val="16"/>
              </w:rPr>
              <w:t xml:space="preserve">btención de muestras sanguíneas </w:t>
            </w:r>
            <w:r>
              <w:rPr>
                <w:rFonts w:ascii="Arial" w:hAnsi="Arial" w:cs="Arial"/>
                <w:sz w:val="16"/>
                <w:szCs w:val="16"/>
              </w:rPr>
              <w:t xml:space="preserve">para el análisis farmacocinético con el fin de determinar la dosis correcta para el paciente </w:t>
            </w:r>
          </w:p>
        </w:tc>
      </w:tr>
    </w:tbl>
    <w:p w:rsidR="008C5513" w:rsidRDefault="008C5513" w:rsidP="008C5513">
      <w:pPr>
        <w:jc w:val="both"/>
        <w:rPr>
          <w:rFonts w:ascii="Arial" w:hAnsi="Arial" w:cs="Arial"/>
          <w:sz w:val="24"/>
          <w:szCs w:val="24"/>
        </w:rPr>
      </w:pPr>
    </w:p>
    <w:p w:rsidR="00F8348E" w:rsidRDefault="00F8348E" w:rsidP="008C5513">
      <w:pPr>
        <w:jc w:val="both"/>
        <w:rPr>
          <w:rFonts w:ascii="Arial" w:hAnsi="Arial" w:cs="Arial"/>
          <w:sz w:val="24"/>
          <w:szCs w:val="24"/>
        </w:rPr>
      </w:pPr>
    </w:p>
    <w:p w:rsidR="00BC44E7" w:rsidRDefault="00BC44E7" w:rsidP="00BC44E7">
      <w:pPr>
        <w:jc w:val="both"/>
        <w:rPr>
          <w:rFonts w:ascii="Arial" w:hAnsi="Arial" w:cs="Arial"/>
          <w:sz w:val="24"/>
          <w:szCs w:val="24"/>
        </w:rPr>
      </w:pPr>
      <w:r>
        <w:rPr>
          <w:rFonts w:ascii="Arial" w:hAnsi="Arial" w:cs="Arial"/>
          <w:sz w:val="24"/>
          <w:szCs w:val="24"/>
        </w:rPr>
        <w:lastRenderedPageBreak/>
        <w:t>Tabla 1 Agentes quimioterapéuticos</w:t>
      </w:r>
    </w:p>
    <w:tbl>
      <w:tblPr>
        <w:tblStyle w:val="Tablaconcuadrcula"/>
        <w:tblW w:w="13291" w:type="dxa"/>
        <w:tblLayout w:type="fixed"/>
        <w:tblLook w:val="04A0" w:firstRow="1" w:lastRow="0" w:firstColumn="1" w:lastColumn="0" w:noHBand="0" w:noVBand="1"/>
      </w:tblPr>
      <w:tblGrid>
        <w:gridCol w:w="1242"/>
        <w:gridCol w:w="1418"/>
        <w:gridCol w:w="850"/>
        <w:gridCol w:w="2835"/>
        <w:gridCol w:w="3119"/>
        <w:gridCol w:w="3827"/>
      </w:tblGrid>
      <w:tr w:rsidR="00BC44E7" w:rsidTr="00C11C9E">
        <w:tc>
          <w:tcPr>
            <w:tcW w:w="1242" w:type="dxa"/>
          </w:tcPr>
          <w:p w:rsidR="00BC44E7" w:rsidRPr="0028732A" w:rsidRDefault="00BC44E7" w:rsidP="00FD331F">
            <w:pPr>
              <w:jc w:val="both"/>
              <w:rPr>
                <w:rFonts w:ascii="Arial" w:hAnsi="Arial" w:cs="Arial"/>
                <w:sz w:val="20"/>
                <w:szCs w:val="20"/>
              </w:rPr>
            </w:pPr>
            <w:r w:rsidRPr="0028732A">
              <w:rPr>
                <w:rFonts w:ascii="Arial" w:hAnsi="Arial" w:cs="Arial"/>
                <w:sz w:val="20"/>
                <w:szCs w:val="20"/>
              </w:rPr>
              <w:t>fármaco</w:t>
            </w:r>
          </w:p>
        </w:tc>
        <w:tc>
          <w:tcPr>
            <w:tcW w:w="1418" w:type="dxa"/>
          </w:tcPr>
          <w:p w:rsidR="00BC44E7" w:rsidRPr="0028732A" w:rsidRDefault="00BC44E7" w:rsidP="00FD331F">
            <w:pPr>
              <w:jc w:val="both"/>
              <w:rPr>
                <w:rFonts w:ascii="Arial" w:hAnsi="Arial" w:cs="Arial"/>
                <w:sz w:val="20"/>
                <w:szCs w:val="20"/>
              </w:rPr>
            </w:pPr>
            <w:r w:rsidRPr="0028732A">
              <w:rPr>
                <w:rFonts w:ascii="Arial" w:hAnsi="Arial" w:cs="Arial"/>
                <w:sz w:val="20"/>
                <w:szCs w:val="20"/>
              </w:rPr>
              <w:t xml:space="preserve">Clasificación </w:t>
            </w:r>
          </w:p>
        </w:tc>
        <w:tc>
          <w:tcPr>
            <w:tcW w:w="850" w:type="dxa"/>
          </w:tcPr>
          <w:p w:rsidR="00BC44E7" w:rsidRPr="0028732A" w:rsidRDefault="00BC44E7" w:rsidP="00FD331F">
            <w:pPr>
              <w:jc w:val="both"/>
              <w:rPr>
                <w:rFonts w:ascii="Arial" w:hAnsi="Arial" w:cs="Arial"/>
                <w:sz w:val="20"/>
                <w:szCs w:val="20"/>
              </w:rPr>
            </w:pPr>
            <w:r w:rsidRPr="0028732A">
              <w:rPr>
                <w:rFonts w:ascii="Arial" w:hAnsi="Arial" w:cs="Arial"/>
                <w:sz w:val="20"/>
                <w:szCs w:val="20"/>
              </w:rPr>
              <w:t xml:space="preserve">Vía de </w:t>
            </w:r>
            <w:r>
              <w:rPr>
                <w:rFonts w:ascii="Arial" w:hAnsi="Arial" w:cs="Arial"/>
                <w:sz w:val="20"/>
                <w:szCs w:val="20"/>
              </w:rPr>
              <w:t>adm.</w:t>
            </w:r>
            <w:r w:rsidRPr="0028732A">
              <w:rPr>
                <w:rFonts w:ascii="Arial" w:hAnsi="Arial" w:cs="Arial"/>
                <w:sz w:val="20"/>
                <w:szCs w:val="20"/>
              </w:rPr>
              <w:t xml:space="preserve"> </w:t>
            </w:r>
          </w:p>
        </w:tc>
        <w:tc>
          <w:tcPr>
            <w:tcW w:w="2835" w:type="dxa"/>
          </w:tcPr>
          <w:p w:rsidR="00BC44E7" w:rsidRPr="0028732A" w:rsidRDefault="00BC44E7" w:rsidP="00FD331F">
            <w:pPr>
              <w:jc w:val="both"/>
              <w:rPr>
                <w:rFonts w:ascii="Arial" w:hAnsi="Arial" w:cs="Arial"/>
                <w:sz w:val="20"/>
                <w:szCs w:val="20"/>
              </w:rPr>
            </w:pPr>
            <w:r w:rsidRPr="0028732A">
              <w:rPr>
                <w:rFonts w:ascii="Arial" w:hAnsi="Arial" w:cs="Arial"/>
                <w:sz w:val="20"/>
                <w:szCs w:val="20"/>
              </w:rPr>
              <w:t>Efectos secundarios</w:t>
            </w:r>
          </w:p>
        </w:tc>
        <w:tc>
          <w:tcPr>
            <w:tcW w:w="3119" w:type="dxa"/>
          </w:tcPr>
          <w:p w:rsidR="00BC44E7" w:rsidRPr="0028732A" w:rsidRDefault="00BC44E7" w:rsidP="00FD331F">
            <w:pPr>
              <w:jc w:val="both"/>
              <w:rPr>
                <w:rFonts w:ascii="Arial" w:hAnsi="Arial" w:cs="Arial"/>
                <w:sz w:val="20"/>
                <w:szCs w:val="20"/>
              </w:rPr>
            </w:pPr>
            <w:r w:rsidRPr="0028732A">
              <w:rPr>
                <w:rFonts w:ascii="Arial" w:hAnsi="Arial" w:cs="Arial"/>
                <w:sz w:val="20"/>
                <w:szCs w:val="20"/>
              </w:rPr>
              <w:t>Consideraciones especiales</w:t>
            </w:r>
          </w:p>
        </w:tc>
        <w:tc>
          <w:tcPr>
            <w:tcW w:w="3827" w:type="dxa"/>
          </w:tcPr>
          <w:p w:rsidR="00BC44E7" w:rsidRPr="0028732A" w:rsidRDefault="00BC44E7" w:rsidP="00FD331F">
            <w:pPr>
              <w:jc w:val="both"/>
              <w:rPr>
                <w:rFonts w:ascii="Arial" w:hAnsi="Arial" w:cs="Arial"/>
                <w:sz w:val="20"/>
                <w:szCs w:val="20"/>
              </w:rPr>
            </w:pPr>
            <w:r w:rsidRPr="0028732A">
              <w:rPr>
                <w:rFonts w:ascii="Arial" w:hAnsi="Arial" w:cs="Arial"/>
                <w:sz w:val="20"/>
                <w:szCs w:val="20"/>
              </w:rPr>
              <w:t>Acciones de enfermería</w:t>
            </w:r>
          </w:p>
        </w:tc>
      </w:tr>
      <w:tr w:rsidR="00BC44E7" w:rsidTr="00C11C9E">
        <w:tc>
          <w:tcPr>
            <w:tcW w:w="1242" w:type="dxa"/>
          </w:tcPr>
          <w:p w:rsidR="00E37EB7" w:rsidRDefault="00E37EB7" w:rsidP="00FD331F">
            <w:pPr>
              <w:jc w:val="both"/>
              <w:rPr>
                <w:rFonts w:ascii="Arial" w:hAnsi="Arial" w:cs="Arial"/>
                <w:sz w:val="16"/>
                <w:szCs w:val="16"/>
              </w:rPr>
            </w:pPr>
          </w:p>
          <w:p w:rsidR="00BC44E7" w:rsidRDefault="00F84A17" w:rsidP="00FD331F">
            <w:pPr>
              <w:jc w:val="both"/>
              <w:rPr>
                <w:rFonts w:ascii="Arial" w:hAnsi="Arial" w:cs="Arial"/>
                <w:sz w:val="16"/>
                <w:szCs w:val="16"/>
              </w:rPr>
            </w:pPr>
            <w:r>
              <w:rPr>
                <w:rFonts w:ascii="Arial" w:hAnsi="Arial" w:cs="Arial"/>
                <w:sz w:val="16"/>
                <w:szCs w:val="16"/>
              </w:rPr>
              <w:t>Carboplatino</w:t>
            </w:r>
          </w:p>
          <w:p w:rsidR="00F84A17" w:rsidRPr="00035BF7" w:rsidRDefault="00F84A17" w:rsidP="00FD331F">
            <w:pPr>
              <w:jc w:val="both"/>
              <w:rPr>
                <w:rFonts w:ascii="Arial" w:hAnsi="Arial" w:cs="Arial"/>
                <w:sz w:val="16"/>
                <w:szCs w:val="16"/>
              </w:rPr>
            </w:pPr>
            <w:r>
              <w:rPr>
                <w:rFonts w:ascii="Arial" w:hAnsi="Arial" w:cs="Arial"/>
                <w:sz w:val="16"/>
                <w:szCs w:val="16"/>
              </w:rPr>
              <w:t>(Paraplatin)</w:t>
            </w:r>
          </w:p>
        </w:tc>
        <w:tc>
          <w:tcPr>
            <w:tcW w:w="1418" w:type="dxa"/>
          </w:tcPr>
          <w:p w:rsidR="00E37EB7" w:rsidRDefault="00E37EB7" w:rsidP="00FD331F">
            <w:pPr>
              <w:jc w:val="both"/>
              <w:rPr>
                <w:rFonts w:ascii="Arial" w:hAnsi="Arial" w:cs="Arial"/>
                <w:sz w:val="16"/>
                <w:szCs w:val="16"/>
              </w:rPr>
            </w:pPr>
          </w:p>
          <w:p w:rsidR="00BC44E7" w:rsidRPr="00035BF7" w:rsidRDefault="00F84A17" w:rsidP="00FD331F">
            <w:pPr>
              <w:jc w:val="both"/>
              <w:rPr>
                <w:rFonts w:ascii="Arial" w:hAnsi="Arial" w:cs="Arial"/>
                <w:sz w:val="16"/>
                <w:szCs w:val="16"/>
              </w:rPr>
            </w:pPr>
            <w:r>
              <w:rPr>
                <w:rFonts w:ascii="Arial" w:hAnsi="Arial" w:cs="Arial"/>
                <w:sz w:val="16"/>
                <w:szCs w:val="16"/>
              </w:rPr>
              <w:t xml:space="preserve">Agente alcalinizante </w:t>
            </w:r>
          </w:p>
        </w:tc>
        <w:tc>
          <w:tcPr>
            <w:tcW w:w="850" w:type="dxa"/>
          </w:tcPr>
          <w:p w:rsidR="00E37EB7" w:rsidRDefault="00E37EB7" w:rsidP="00FD331F">
            <w:pPr>
              <w:jc w:val="both"/>
              <w:rPr>
                <w:rFonts w:ascii="Arial" w:hAnsi="Arial" w:cs="Arial"/>
                <w:sz w:val="16"/>
                <w:szCs w:val="16"/>
              </w:rPr>
            </w:pPr>
          </w:p>
          <w:p w:rsidR="00BC44E7" w:rsidRPr="00035BF7" w:rsidRDefault="00F84A17" w:rsidP="00FD331F">
            <w:pPr>
              <w:jc w:val="both"/>
              <w:rPr>
                <w:rFonts w:ascii="Arial" w:hAnsi="Arial" w:cs="Arial"/>
                <w:sz w:val="16"/>
                <w:szCs w:val="16"/>
              </w:rPr>
            </w:pPr>
            <w:r>
              <w:rPr>
                <w:rFonts w:ascii="Arial" w:hAnsi="Arial" w:cs="Arial"/>
                <w:sz w:val="16"/>
                <w:szCs w:val="16"/>
              </w:rPr>
              <w:t xml:space="preserve">IV </w:t>
            </w:r>
          </w:p>
        </w:tc>
        <w:tc>
          <w:tcPr>
            <w:tcW w:w="2835" w:type="dxa"/>
          </w:tcPr>
          <w:p w:rsidR="00E37EB7" w:rsidRDefault="00E37EB7" w:rsidP="00FD331F">
            <w:pPr>
              <w:jc w:val="both"/>
              <w:rPr>
                <w:rFonts w:ascii="Arial" w:hAnsi="Arial" w:cs="Arial"/>
                <w:sz w:val="16"/>
                <w:szCs w:val="16"/>
              </w:rPr>
            </w:pPr>
          </w:p>
          <w:p w:rsidR="00BC44E7" w:rsidRDefault="00F84A17" w:rsidP="00FD331F">
            <w:pPr>
              <w:jc w:val="both"/>
              <w:rPr>
                <w:rFonts w:ascii="Arial" w:hAnsi="Arial" w:cs="Arial"/>
                <w:sz w:val="16"/>
                <w:szCs w:val="16"/>
              </w:rPr>
            </w:pPr>
            <w:r>
              <w:rPr>
                <w:rFonts w:ascii="Arial" w:hAnsi="Arial" w:cs="Arial"/>
                <w:sz w:val="16"/>
                <w:szCs w:val="16"/>
              </w:rPr>
              <w:t xml:space="preserve">Frecuentes: náuseas, vómito (mucho menos que con el cisplatino), trombocitopenia, mielosupresión (especialmente con dosis acumulativas) </w:t>
            </w:r>
          </w:p>
          <w:p w:rsidR="00AC454B" w:rsidRDefault="00AC454B" w:rsidP="00FD331F">
            <w:pPr>
              <w:jc w:val="both"/>
              <w:rPr>
                <w:rFonts w:ascii="Arial" w:hAnsi="Arial" w:cs="Arial"/>
                <w:sz w:val="16"/>
                <w:szCs w:val="16"/>
              </w:rPr>
            </w:pPr>
          </w:p>
          <w:p w:rsidR="00AC454B" w:rsidRDefault="00F84A17" w:rsidP="00FD331F">
            <w:pPr>
              <w:jc w:val="both"/>
              <w:rPr>
                <w:rFonts w:ascii="Arial" w:hAnsi="Arial" w:cs="Arial"/>
                <w:sz w:val="16"/>
                <w:szCs w:val="16"/>
              </w:rPr>
            </w:pPr>
            <w:r>
              <w:rPr>
                <w:rFonts w:ascii="Arial" w:hAnsi="Arial" w:cs="Arial"/>
                <w:sz w:val="16"/>
                <w:szCs w:val="16"/>
              </w:rPr>
              <w:t>Ocasionales: reacción de hipersensibilidad (el riesgo aumenta con cada administración) alteraciones en los electrolitos.</w:t>
            </w:r>
          </w:p>
          <w:p w:rsidR="00BC44E7" w:rsidRDefault="00F84A17" w:rsidP="00FD331F">
            <w:pPr>
              <w:jc w:val="both"/>
              <w:rPr>
                <w:rFonts w:ascii="Arial" w:hAnsi="Arial" w:cs="Arial"/>
                <w:sz w:val="16"/>
                <w:szCs w:val="16"/>
              </w:rPr>
            </w:pPr>
            <w:r>
              <w:rPr>
                <w:rFonts w:ascii="Arial" w:hAnsi="Arial" w:cs="Arial"/>
                <w:sz w:val="16"/>
                <w:szCs w:val="16"/>
              </w:rPr>
              <w:t xml:space="preserve"> </w:t>
            </w:r>
          </w:p>
          <w:p w:rsidR="00F84A17" w:rsidRDefault="00F84A17" w:rsidP="00FD331F">
            <w:pPr>
              <w:jc w:val="both"/>
              <w:rPr>
                <w:rFonts w:ascii="Arial" w:hAnsi="Arial" w:cs="Arial"/>
                <w:sz w:val="16"/>
                <w:szCs w:val="16"/>
              </w:rPr>
            </w:pPr>
            <w:r>
              <w:rPr>
                <w:rFonts w:ascii="Arial" w:hAnsi="Arial" w:cs="Arial"/>
                <w:sz w:val="16"/>
                <w:szCs w:val="16"/>
              </w:rPr>
              <w:t>Raros: gusto metálico, neuropatía periférica, hepatotoxicidad, toxicidad renal, ot</w:t>
            </w:r>
            <w:r w:rsidR="00E37EB7">
              <w:rPr>
                <w:rFonts w:ascii="Arial" w:hAnsi="Arial" w:cs="Arial"/>
                <w:sz w:val="16"/>
                <w:szCs w:val="16"/>
              </w:rPr>
              <w:t>otoxicidad, leucemia secundaria.</w:t>
            </w:r>
            <w:r>
              <w:rPr>
                <w:rFonts w:ascii="Arial" w:hAnsi="Arial" w:cs="Arial"/>
                <w:sz w:val="16"/>
                <w:szCs w:val="16"/>
              </w:rPr>
              <w:t xml:space="preserve"> </w:t>
            </w:r>
          </w:p>
          <w:p w:rsidR="00BC44E7" w:rsidRPr="00035BF7" w:rsidRDefault="00BC44E7" w:rsidP="00FD331F">
            <w:pPr>
              <w:jc w:val="both"/>
              <w:rPr>
                <w:rFonts w:ascii="Arial" w:hAnsi="Arial" w:cs="Arial"/>
                <w:sz w:val="16"/>
                <w:szCs w:val="16"/>
              </w:rPr>
            </w:pPr>
          </w:p>
        </w:tc>
        <w:tc>
          <w:tcPr>
            <w:tcW w:w="3119" w:type="dxa"/>
          </w:tcPr>
          <w:p w:rsidR="00E37EB7" w:rsidRDefault="00E37EB7" w:rsidP="00FD331F">
            <w:pPr>
              <w:jc w:val="both"/>
              <w:rPr>
                <w:rFonts w:ascii="Arial" w:hAnsi="Arial" w:cs="Arial"/>
                <w:sz w:val="16"/>
                <w:szCs w:val="16"/>
              </w:rPr>
            </w:pPr>
          </w:p>
          <w:p w:rsidR="00BC44E7" w:rsidRDefault="00F84A17" w:rsidP="00FD331F">
            <w:pPr>
              <w:jc w:val="both"/>
              <w:rPr>
                <w:rFonts w:ascii="Arial" w:hAnsi="Arial" w:cs="Arial"/>
                <w:sz w:val="16"/>
                <w:szCs w:val="16"/>
              </w:rPr>
            </w:pPr>
            <w:r>
              <w:rPr>
                <w:rFonts w:ascii="Arial" w:hAnsi="Arial" w:cs="Arial"/>
                <w:sz w:val="16"/>
                <w:szCs w:val="16"/>
              </w:rPr>
              <w:t xml:space="preserve">El aluminio reacciona con el carboplatino, causando la formación de </w:t>
            </w:r>
            <w:r w:rsidR="00E37EB7">
              <w:rPr>
                <w:rFonts w:ascii="Arial" w:hAnsi="Arial" w:cs="Arial"/>
                <w:sz w:val="16"/>
                <w:szCs w:val="16"/>
              </w:rPr>
              <w:t>precipitados</w:t>
            </w:r>
            <w:r>
              <w:rPr>
                <w:rFonts w:ascii="Arial" w:hAnsi="Arial" w:cs="Arial"/>
                <w:sz w:val="16"/>
                <w:szCs w:val="16"/>
              </w:rPr>
              <w:t xml:space="preserve"> y la perdida de potencia. </w:t>
            </w:r>
          </w:p>
          <w:p w:rsidR="00F84A17" w:rsidRDefault="00F84A17" w:rsidP="00FD331F">
            <w:pPr>
              <w:jc w:val="both"/>
              <w:rPr>
                <w:rFonts w:ascii="Arial" w:hAnsi="Arial" w:cs="Arial"/>
                <w:sz w:val="16"/>
                <w:szCs w:val="16"/>
              </w:rPr>
            </w:pPr>
            <w:r>
              <w:rPr>
                <w:rFonts w:ascii="Arial" w:hAnsi="Arial" w:cs="Arial"/>
                <w:sz w:val="16"/>
                <w:szCs w:val="16"/>
              </w:rPr>
              <w:t xml:space="preserve">No permita que </w:t>
            </w:r>
            <w:r w:rsidR="00E37EB7">
              <w:rPr>
                <w:rFonts w:ascii="Arial" w:hAnsi="Arial" w:cs="Arial"/>
                <w:sz w:val="16"/>
                <w:szCs w:val="16"/>
              </w:rPr>
              <w:t>las agujas</w:t>
            </w:r>
            <w:r>
              <w:rPr>
                <w:rFonts w:ascii="Arial" w:hAnsi="Arial" w:cs="Arial"/>
                <w:sz w:val="16"/>
                <w:szCs w:val="16"/>
              </w:rPr>
              <w:t xml:space="preserve"> o equipos para infusión que contengan partes de aluminio entren en contacto con el fármaco.</w:t>
            </w:r>
          </w:p>
          <w:p w:rsidR="00F84A17" w:rsidRDefault="00F84A17" w:rsidP="00FD331F">
            <w:pPr>
              <w:jc w:val="both"/>
              <w:rPr>
                <w:rFonts w:ascii="Arial" w:hAnsi="Arial" w:cs="Arial"/>
                <w:sz w:val="16"/>
                <w:szCs w:val="16"/>
              </w:rPr>
            </w:pPr>
            <w:r>
              <w:rPr>
                <w:rFonts w:ascii="Arial" w:hAnsi="Arial" w:cs="Arial"/>
                <w:sz w:val="16"/>
                <w:szCs w:val="16"/>
              </w:rPr>
              <w:t>La eliminación depende de la tasa de filtración glomerular (GFR) y puede indicarse con base en la tasa de</w:t>
            </w:r>
            <w:r w:rsidR="00AC454B">
              <w:rPr>
                <w:rFonts w:ascii="Arial" w:hAnsi="Arial" w:cs="Arial"/>
                <w:sz w:val="16"/>
                <w:szCs w:val="16"/>
              </w:rPr>
              <w:t xml:space="preserve"> filtración glomerular y el área bajo la curva (AUC) deseada</w:t>
            </w:r>
            <w:r w:rsidR="00DA6976">
              <w:rPr>
                <w:rFonts w:ascii="Arial" w:hAnsi="Arial" w:cs="Arial"/>
                <w:sz w:val="16"/>
                <w:szCs w:val="16"/>
              </w:rPr>
              <w:t>.</w:t>
            </w:r>
          </w:p>
          <w:p w:rsidR="00DA6976" w:rsidRPr="00035BF7" w:rsidRDefault="00DA6976" w:rsidP="00FD331F">
            <w:pPr>
              <w:jc w:val="both"/>
              <w:rPr>
                <w:rFonts w:ascii="Arial" w:hAnsi="Arial" w:cs="Arial"/>
                <w:sz w:val="16"/>
                <w:szCs w:val="16"/>
              </w:rPr>
            </w:pPr>
            <w:r>
              <w:rPr>
                <w:rFonts w:ascii="Arial" w:hAnsi="Arial" w:cs="Arial"/>
                <w:sz w:val="16"/>
                <w:szCs w:val="16"/>
              </w:rPr>
              <w:t>La trombocitopenia es la toxicidad limitante de la dosis; el nadir de plaquetas es de 3 semanas.</w:t>
            </w:r>
          </w:p>
        </w:tc>
        <w:tc>
          <w:tcPr>
            <w:tcW w:w="3827" w:type="dxa"/>
          </w:tcPr>
          <w:p w:rsidR="00E37EB7" w:rsidRDefault="00E37EB7" w:rsidP="00FD331F">
            <w:pPr>
              <w:jc w:val="both"/>
              <w:rPr>
                <w:rFonts w:ascii="Arial" w:hAnsi="Arial" w:cs="Arial"/>
                <w:sz w:val="16"/>
                <w:szCs w:val="16"/>
              </w:rPr>
            </w:pPr>
          </w:p>
          <w:p w:rsidR="00BC44E7" w:rsidRDefault="00AC454B" w:rsidP="00FD331F">
            <w:pPr>
              <w:jc w:val="both"/>
              <w:rPr>
                <w:rFonts w:ascii="Arial" w:hAnsi="Arial" w:cs="Arial"/>
                <w:sz w:val="16"/>
                <w:szCs w:val="16"/>
              </w:rPr>
            </w:pPr>
            <w:r>
              <w:rPr>
                <w:rFonts w:ascii="Arial" w:hAnsi="Arial" w:cs="Arial"/>
                <w:sz w:val="16"/>
                <w:szCs w:val="16"/>
              </w:rPr>
              <w:t>Deben realizarse pruebas audiométricas al inicio y en el periodo de seguimiento.</w:t>
            </w:r>
          </w:p>
          <w:p w:rsidR="00AC454B" w:rsidRPr="00035BF7" w:rsidRDefault="00AC454B" w:rsidP="00FD331F">
            <w:pPr>
              <w:jc w:val="both"/>
              <w:rPr>
                <w:rFonts w:ascii="Arial" w:hAnsi="Arial" w:cs="Arial"/>
                <w:sz w:val="16"/>
                <w:szCs w:val="16"/>
              </w:rPr>
            </w:pPr>
            <w:r>
              <w:rPr>
                <w:rFonts w:ascii="Arial" w:hAnsi="Arial" w:cs="Arial"/>
                <w:sz w:val="16"/>
                <w:szCs w:val="16"/>
              </w:rPr>
              <w:t xml:space="preserve">Se puede usar la fórmula de </w:t>
            </w:r>
            <w:proofErr w:type="spellStart"/>
            <w:r>
              <w:rPr>
                <w:rFonts w:ascii="Arial" w:hAnsi="Arial" w:cs="Arial"/>
                <w:sz w:val="16"/>
                <w:szCs w:val="16"/>
              </w:rPr>
              <w:t>Calcert</w:t>
            </w:r>
            <w:proofErr w:type="spellEnd"/>
            <w:r>
              <w:rPr>
                <w:rFonts w:ascii="Arial" w:hAnsi="Arial" w:cs="Arial"/>
                <w:sz w:val="16"/>
                <w:szCs w:val="16"/>
              </w:rPr>
              <w:t xml:space="preserve"> para realizar ajustes de la dosis con base en la depuración de creatinina o la tasa de filtración glomerular.</w:t>
            </w:r>
          </w:p>
        </w:tc>
      </w:tr>
      <w:tr w:rsidR="00BC44E7" w:rsidTr="00C11C9E">
        <w:trPr>
          <w:trHeight w:val="3223"/>
        </w:trPr>
        <w:tc>
          <w:tcPr>
            <w:tcW w:w="1242" w:type="dxa"/>
          </w:tcPr>
          <w:p w:rsidR="00BC44E7" w:rsidRDefault="00AC454B" w:rsidP="00FD331F">
            <w:pPr>
              <w:jc w:val="both"/>
              <w:rPr>
                <w:rFonts w:ascii="Arial" w:hAnsi="Arial" w:cs="Arial"/>
                <w:sz w:val="16"/>
                <w:szCs w:val="16"/>
              </w:rPr>
            </w:pPr>
            <w:r>
              <w:rPr>
                <w:rFonts w:ascii="Arial" w:hAnsi="Arial" w:cs="Arial"/>
                <w:sz w:val="16"/>
                <w:szCs w:val="16"/>
              </w:rPr>
              <w:t>Carmustina</w:t>
            </w:r>
          </w:p>
          <w:p w:rsidR="00AC454B" w:rsidRPr="00035BF7" w:rsidRDefault="00AC454B" w:rsidP="00FD331F">
            <w:pPr>
              <w:jc w:val="both"/>
              <w:rPr>
                <w:rFonts w:ascii="Arial" w:hAnsi="Arial" w:cs="Arial"/>
                <w:sz w:val="16"/>
                <w:szCs w:val="16"/>
              </w:rPr>
            </w:pPr>
            <w:r>
              <w:rPr>
                <w:rFonts w:ascii="Arial" w:hAnsi="Arial" w:cs="Arial"/>
                <w:sz w:val="16"/>
                <w:szCs w:val="16"/>
              </w:rPr>
              <w:t xml:space="preserve"> (BCNU, BiCNU, Gliadel)</w:t>
            </w:r>
          </w:p>
        </w:tc>
        <w:tc>
          <w:tcPr>
            <w:tcW w:w="1418" w:type="dxa"/>
          </w:tcPr>
          <w:p w:rsidR="00BC44E7" w:rsidRPr="00035BF7" w:rsidRDefault="00AC454B" w:rsidP="00FD331F">
            <w:pPr>
              <w:jc w:val="both"/>
              <w:rPr>
                <w:rFonts w:ascii="Arial" w:hAnsi="Arial" w:cs="Arial"/>
                <w:sz w:val="16"/>
                <w:szCs w:val="16"/>
              </w:rPr>
            </w:pPr>
            <w:r>
              <w:rPr>
                <w:rFonts w:ascii="Arial" w:hAnsi="Arial" w:cs="Arial"/>
                <w:sz w:val="16"/>
                <w:szCs w:val="16"/>
              </w:rPr>
              <w:t>Agentes alcalinizante</w:t>
            </w:r>
          </w:p>
        </w:tc>
        <w:tc>
          <w:tcPr>
            <w:tcW w:w="850" w:type="dxa"/>
          </w:tcPr>
          <w:p w:rsidR="00BC44E7" w:rsidRPr="00035BF7" w:rsidRDefault="00AC454B" w:rsidP="00FD331F">
            <w:pPr>
              <w:jc w:val="both"/>
              <w:rPr>
                <w:rFonts w:ascii="Arial" w:hAnsi="Arial" w:cs="Arial"/>
                <w:sz w:val="16"/>
                <w:szCs w:val="16"/>
              </w:rPr>
            </w:pPr>
            <w:r>
              <w:rPr>
                <w:rFonts w:ascii="Arial" w:hAnsi="Arial" w:cs="Arial"/>
                <w:sz w:val="16"/>
                <w:szCs w:val="16"/>
              </w:rPr>
              <w:t>IV</w:t>
            </w:r>
          </w:p>
        </w:tc>
        <w:tc>
          <w:tcPr>
            <w:tcW w:w="2835" w:type="dxa"/>
          </w:tcPr>
          <w:p w:rsidR="00BC44E7" w:rsidRDefault="00AC454B" w:rsidP="00FD331F">
            <w:pPr>
              <w:jc w:val="both"/>
              <w:rPr>
                <w:rFonts w:ascii="Arial" w:hAnsi="Arial" w:cs="Arial"/>
                <w:sz w:val="16"/>
                <w:szCs w:val="16"/>
              </w:rPr>
            </w:pPr>
            <w:r>
              <w:rPr>
                <w:rFonts w:ascii="Arial" w:hAnsi="Arial" w:cs="Arial"/>
                <w:sz w:val="16"/>
                <w:szCs w:val="16"/>
              </w:rPr>
              <w:t>Frecuentes: ardor con la administración periférica, náuseas, vómito, mielosupresión, alopecia, disfunción pulmonar tardía.</w:t>
            </w:r>
          </w:p>
          <w:p w:rsidR="00AC454B" w:rsidRDefault="00AC454B" w:rsidP="00FD331F">
            <w:pPr>
              <w:jc w:val="both"/>
              <w:rPr>
                <w:rFonts w:ascii="Arial" w:hAnsi="Arial" w:cs="Arial"/>
                <w:sz w:val="16"/>
                <w:szCs w:val="16"/>
              </w:rPr>
            </w:pPr>
          </w:p>
          <w:p w:rsidR="00ED0FE7" w:rsidRDefault="00AC454B" w:rsidP="00FD331F">
            <w:pPr>
              <w:jc w:val="both"/>
              <w:rPr>
                <w:rFonts w:ascii="Arial" w:hAnsi="Arial" w:cs="Arial"/>
                <w:sz w:val="16"/>
                <w:szCs w:val="16"/>
              </w:rPr>
            </w:pPr>
            <w:r>
              <w:rPr>
                <w:rFonts w:ascii="Arial" w:hAnsi="Arial" w:cs="Arial"/>
                <w:sz w:val="16"/>
                <w:szCs w:val="16"/>
              </w:rPr>
              <w:t>Ocasionales: rubor facial marcado, insuficiencia hepática</w:t>
            </w:r>
            <w:r w:rsidR="00DA6976">
              <w:rPr>
                <w:rFonts w:ascii="Arial" w:hAnsi="Arial" w:cs="Arial"/>
                <w:sz w:val="16"/>
                <w:szCs w:val="16"/>
              </w:rPr>
              <w:t>, tromboflebitis en el sitio de la inyección.</w:t>
            </w:r>
          </w:p>
          <w:p w:rsidR="00ED0FE7" w:rsidRDefault="00AC454B" w:rsidP="00FD331F">
            <w:pPr>
              <w:jc w:val="both"/>
              <w:rPr>
                <w:rFonts w:ascii="Arial" w:hAnsi="Arial" w:cs="Arial"/>
                <w:sz w:val="16"/>
                <w:szCs w:val="16"/>
              </w:rPr>
            </w:pPr>
            <w:r>
              <w:rPr>
                <w:rFonts w:ascii="Arial" w:hAnsi="Arial" w:cs="Arial"/>
                <w:sz w:val="16"/>
                <w:szCs w:val="16"/>
              </w:rPr>
              <w:t xml:space="preserve">, </w:t>
            </w:r>
          </w:p>
          <w:p w:rsidR="00AC454B" w:rsidRDefault="00AC454B" w:rsidP="00FD331F">
            <w:pPr>
              <w:jc w:val="both"/>
              <w:rPr>
                <w:rFonts w:ascii="Arial" w:hAnsi="Arial" w:cs="Arial"/>
                <w:sz w:val="16"/>
                <w:szCs w:val="16"/>
              </w:rPr>
            </w:pPr>
            <w:r>
              <w:rPr>
                <w:rFonts w:ascii="Arial" w:hAnsi="Arial" w:cs="Arial"/>
                <w:sz w:val="16"/>
                <w:szCs w:val="16"/>
              </w:rPr>
              <w:t>Raros: decoloración pardusca al contacto, insuficiencia renal</w:t>
            </w:r>
            <w:r w:rsidR="00ED0FE7">
              <w:rPr>
                <w:rFonts w:ascii="Arial" w:hAnsi="Arial" w:cs="Arial"/>
                <w:sz w:val="16"/>
                <w:szCs w:val="16"/>
              </w:rPr>
              <w:t xml:space="preserve">   </w:t>
            </w:r>
          </w:p>
          <w:p w:rsidR="00ED0FE7" w:rsidRPr="00ED0FE7" w:rsidRDefault="00ED0FE7" w:rsidP="00ED0FE7">
            <w:pPr>
              <w:jc w:val="both"/>
              <w:rPr>
                <w:rFonts w:ascii="Arial" w:hAnsi="Arial" w:cs="Arial"/>
                <w:sz w:val="16"/>
                <w:szCs w:val="16"/>
              </w:rPr>
            </w:pPr>
            <w:r w:rsidRPr="00ED0FE7">
              <w:rPr>
                <w:rFonts w:ascii="Arial" w:hAnsi="Arial" w:cs="Arial"/>
                <w:sz w:val="16"/>
                <w:szCs w:val="16"/>
              </w:rPr>
              <w:t xml:space="preserve">fibrosis pulmonar, cáncer secundario (leucemia aguda en el 5%-10% de los pacientes con tratamientos previo) </w:t>
            </w:r>
          </w:p>
          <w:p w:rsidR="00ED0FE7" w:rsidRPr="00035BF7" w:rsidRDefault="00ED0FE7" w:rsidP="00FD331F">
            <w:pPr>
              <w:jc w:val="both"/>
              <w:rPr>
                <w:rFonts w:ascii="Arial" w:hAnsi="Arial" w:cs="Arial"/>
                <w:sz w:val="16"/>
                <w:szCs w:val="16"/>
              </w:rPr>
            </w:pPr>
          </w:p>
        </w:tc>
        <w:tc>
          <w:tcPr>
            <w:tcW w:w="3119" w:type="dxa"/>
          </w:tcPr>
          <w:p w:rsidR="00ED0FE7" w:rsidRDefault="00ED0FE7" w:rsidP="00FD331F">
            <w:pPr>
              <w:jc w:val="both"/>
              <w:rPr>
                <w:rFonts w:ascii="Arial" w:hAnsi="Arial" w:cs="Arial"/>
                <w:sz w:val="16"/>
                <w:szCs w:val="16"/>
              </w:rPr>
            </w:pPr>
            <w:r>
              <w:rPr>
                <w:rFonts w:ascii="Arial" w:hAnsi="Arial" w:cs="Arial"/>
                <w:sz w:val="16"/>
                <w:szCs w:val="16"/>
              </w:rPr>
              <w:t>Toxicidad hematológica retardada, el nadir de plaquetas es</w:t>
            </w:r>
            <w:r w:rsidR="000B65F8">
              <w:rPr>
                <w:rFonts w:ascii="Arial" w:hAnsi="Arial" w:cs="Arial"/>
                <w:sz w:val="16"/>
                <w:szCs w:val="16"/>
              </w:rPr>
              <w:t xml:space="preserve"> </w:t>
            </w:r>
            <w:r>
              <w:rPr>
                <w:rFonts w:ascii="Arial" w:hAnsi="Arial" w:cs="Arial"/>
                <w:sz w:val="16"/>
                <w:szCs w:val="16"/>
              </w:rPr>
              <w:t>de 4 semanas; el nadir de neutrófilo es de 4 a 6 semanas.</w:t>
            </w:r>
          </w:p>
          <w:p w:rsidR="00BC44E7" w:rsidRPr="00035BF7" w:rsidRDefault="00ED0FE7" w:rsidP="00FD331F">
            <w:pPr>
              <w:jc w:val="both"/>
              <w:rPr>
                <w:rFonts w:ascii="Arial" w:hAnsi="Arial" w:cs="Arial"/>
                <w:sz w:val="16"/>
                <w:szCs w:val="16"/>
              </w:rPr>
            </w:pPr>
            <w:r>
              <w:rPr>
                <w:rFonts w:ascii="Arial" w:hAnsi="Arial" w:cs="Arial"/>
                <w:sz w:val="16"/>
                <w:szCs w:val="16"/>
              </w:rPr>
              <w:t xml:space="preserve">Pueden presentarse </w:t>
            </w:r>
            <w:r w:rsidR="000B65F8">
              <w:rPr>
                <w:rFonts w:ascii="Arial" w:hAnsi="Arial" w:cs="Arial"/>
                <w:sz w:val="16"/>
                <w:szCs w:val="16"/>
              </w:rPr>
              <w:t>náuseas</w:t>
            </w:r>
            <w:r>
              <w:rPr>
                <w:rFonts w:ascii="Arial" w:hAnsi="Arial" w:cs="Arial"/>
                <w:sz w:val="16"/>
                <w:szCs w:val="16"/>
              </w:rPr>
              <w:t xml:space="preserve"> y vómito </w:t>
            </w:r>
            <w:r w:rsidR="000B65F8">
              <w:rPr>
                <w:rFonts w:ascii="Arial" w:hAnsi="Arial" w:cs="Arial"/>
                <w:sz w:val="16"/>
                <w:szCs w:val="16"/>
              </w:rPr>
              <w:t>inmediatamente</w:t>
            </w:r>
            <w:r>
              <w:rPr>
                <w:rFonts w:ascii="Arial" w:hAnsi="Arial" w:cs="Arial"/>
                <w:sz w:val="16"/>
                <w:szCs w:val="16"/>
              </w:rPr>
              <w:t xml:space="preserve"> después del tratamiento y durar por muchas horas y hasta días  </w:t>
            </w:r>
          </w:p>
        </w:tc>
        <w:tc>
          <w:tcPr>
            <w:tcW w:w="3827" w:type="dxa"/>
          </w:tcPr>
          <w:p w:rsidR="00ED0FE7" w:rsidRDefault="00ED0FE7" w:rsidP="00FD331F">
            <w:pPr>
              <w:jc w:val="both"/>
              <w:rPr>
                <w:rFonts w:ascii="Arial" w:hAnsi="Arial" w:cs="Arial"/>
                <w:sz w:val="16"/>
                <w:szCs w:val="16"/>
              </w:rPr>
            </w:pPr>
            <w:r>
              <w:rPr>
                <w:rFonts w:ascii="Arial" w:hAnsi="Arial" w:cs="Arial"/>
                <w:sz w:val="16"/>
                <w:szCs w:val="16"/>
              </w:rPr>
              <w:t>Evitar la extrava</w:t>
            </w:r>
            <w:r w:rsidR="000B65F8">
              <w:rPr>
                <w:rFonts w:ascii="Arial" w:hAnsi="Arial" w:cs="Arial"/>
                <w:sz w:val="16"/>
                <w:szCs w:val="16"/>
              </w:rPr>
              <w:t>sa</w:t>
            </w:r>
            <w:r>
              <w:rPr>
                <w:rFonts w:ascii="Arial" w:hAnsi="Arial" w:cs="Arial"/>
                <w:sz w:val="16"/>
                <w:szCs w:val="16"/>
              </w:rPr>
              <w:t>ción o el contacto local con la piel o la conjuntiva.</w:t>
            </w:r>
          </w:p>
          <w:p w:rsidR="00ED0FE7" w:rsidRDefault="00ED0FE7" w:rsidP="00FD331F">
            <w:pPr>
              <w:jc w:val="both"/>
              <w:rPr>
                <w:rFonts w:ascii="Arial" w:hAnsi="Arial" w:cs="Arial"/>
                <w:sz w:val="16"/>
                <w:szCs w:val="16"/>
              </w:rPr>
            </w:pPr>
            <w:r>
              <w:rPr>
                <w:rFonts w:ascii="Arial" w:hAnsi="Arial" w:cs="Arial"/>
                <w:sz w:val="16"/>
                <w:szCs w:val="16"/>
              </w:rPr>
              <w:t>Evitar la infusión rápida, la cual está asociada con ardor e hipotensión.</w:t>
            </w:r>
          </w:p>
          <w:p w:rsidR="00BC44E7" w:rsidRPr="00035BF7" w:rsidRDefault="00ED0FE7" w:rsidP="00FD331F">
            <w:pPr>
              <w:jc w:val="both"/>
              <w:rPr>
                <w:rFonts w:ascii="Arial" w:hAnsi="Arial" w:cs="Arial"/>
                <w:sz w:val="16"/>
                <w:szCs w:val="16"/>
              </w:rPr>
            </w:pPr>
            <w:r>
              <w:rPr>
                <w:rFonts w:ascii="Arial" w:hAnsi="Arial" w:cs="Arial"/>
                <w:sz w:val="16"/>
                <w:szCs w:val="16"/>
              </w:rPr>
              <w:t xml:space="preserve">Usar </w:t>
            </w:r>
            <w:r w:rsidR="000B65F8">
              <w:rPr>
                <w:rFonts w:ascii="Arial" w:hAnsi="Arial" w:cs="Arial"/>
                <w:sz w:val="16"/>
                <w:szCs w:val="16"/>
              </w:rPr>
              <w:t xml:space="preserve">recipientes de vidrio y equipos de administración revestidos de polietileno para la estabilidad del fármaco; proteger de la luz. </w:t>
            </w:r>
            <w:r>
              <w:rPr>
                <w:rFonts w:ascii="Arial" w:hAnsi="Arial" w:cs="Arial"/>
                <w:sz w:val="16"/>
                <w:szCs w:val="16"/>
              </w:rPr>
              <w:t xml:space="preserve"> </w:t>
            </w:r>
          </w:p>
        </w:tc>
      </w:tr>
    </w:tbl>
    <w:p w:rsidR="008C5513" w:rsidRDefault="008C5513" w:rsidP="0096486C">
      <w:pPr>
        <w:jc w:val="both"/>
        <w:rPr>
          <w:rFonts w:ascii="Arial" w:hAnsi="Arial" w:cs="Arial"/>
          <w:sz w:val="24"/>
          <w:szCs w:val="24"/>
        </w:rPr>
      </w:pPr>
    </w:p>
    <w:p w:rsidR="00AC454B" w:rsidRDefault="00AC454B" w:rsidP="0096486C">
      <w:pPr>
        <w:jc w:val="both"/>
        <w:rPr>
          <w:rFonts w:ascii="Arial" w:hAnsi="Arial" w:cs="Arial"/>
          <w:sz w:val="24"/>
          <w:szCs w:val="24"/>
        </w:rPr>
      </w:pPr>
    </w:p>
    <w:p w:rsidR="00AC454B" w:rsidRDefault="00AC454B" w:rsidP="0096486C">
      <w:pPr>
        <w:jc w:val="both"/>
        <w:rPr>
          <w:rFonts w:ascii="Arial" w:hAnsi="Arial" w:cs="Arial"/>
          <w:sz w:val="24"/>
          <w:szCs w:val="24"/>
        </w:rPr>
      </w:pPr>
    </w:p>
    <w:p w:rsidR="00DA6976" w:rsidRDefault="00DA6976" w:rsidP="00DA6976">
      <w:pPr>
        <w:jc w:val="both"/>
        <w:rPr>
          <w:rFonts w:ascii="Arial" w:hAnsi="Arial" w:cs="Arial"/>
          <w:sz w:val="24"/>
          <w:szCs w:val="24"/>
        </w:rPr>
      </w:pPr>
      <w:r>
        <w:rPr>
          <w:rFonts w:ascii="Arial" w:hAnsi="Arial" w:cs="Arial"/>
          <w:sz w:val="24"/>
          <w:szCs w:val="24"/>
        </w:rPr>
        <w:lastRenderedPageBreak/>
        <w:t>Tabla 1 Agentes quimioterapéuticos</w:t>
      </w:r>
    </w:p>
    <w:p w:rsidR="00C11C9E" w:rsidRDefault="00C11C9E" w:rsidP="00DA6976">
      <w:pPr>
        <w:jc w:val="both"/>
        <w:rPr>
          <w:rFonts w:ascii="Arial" w:hAnsi="Arial" w:cs="Arial"/>
          <w:sz w:val="24"/>
          <w:szCs w:val="24"/>
        </w:rPr>
      </w:pPr>
    </w:p>
    <w:p w:rsidR="00C11C9E" w:rsidRDefault="00C11C9E" w:rsidP="00DA6976">
      <w:pPr>
        <w:jc w:val="both"/>
        <w:rPr>
          <w:rFonts w:ascii="Arial" w:hAnsi="Arial" w:cs="Arial"/>
          <w:sz w:val="24"/>
          <w:szCs w:val="24"/>
        </w:rPr>
      </w:pPr>
    </w:p>
    <w:tbl>
      <w:tblPr>
        <w:tblStyle w:val="Tablaconcuadrcula"/>
        <w:tblW w:w="0" w:type="auto"/>
        <w:tblLayout w:type="fixed"/>
        <w:tblLook w:val="04A0" w:firstRow="1" w:lastRow="0" w:firstColumn="1" w:lastColumn="0" w:noHBand="0" w:noVBand="1"/>
      </w:tblPr>
      <w:tblGrid>
        <w:gridCol w:w="1242"/>
        <w:gridCol w:w="1418"/>
        <w:gridCol w:w="850"/>
        <w:gridCol w:w="2383"/>
        <w:gridCol w:w="3146"/>
        <w:gridCol w:w="4110"/>
      </w:tblGrid>
      <w:tr w:rsidR="00BC44E7" w:rsidTr="00C11C9E">
        <w:tc>
          <w:tcPr>
            <w:tcW w:w="1242" w:type="dxa"/>
          </w:tcPr>
          <w:p w:rsidR="00BC44E7" w:rsidRPr="0028732A" w:rsidRDefault="00BC44E7" w:rsidP="00FD331F">
            <w:pPr>
              <w:jc w:val="both"/>
              <w:rPr>
                <w:rFonts w:ascii="Arial" w:hAnsi="Arial" w:cs="Arial"/>
                <w:sz w:val="20"/>
                <w:szCs w:val="20"/>
              </w:rPr>
            </w:pPr>
            <w:r w:rsidRPr="0028732A">
              <w:rPr>
                <w:rFonts w:ascii="Arial" w:hAnsi="Arial" w:cs="Arial"/>
                <w:sz w:val="20"/>
                <w:szCs w:val="20"/>
              </w:rPr>
              <w:t>fármaco</w:t>
            </w:r>
          </w:p>
        </w:tc>
        <w:tc>
          <w:tcPr>
            <w:tcW w:w="1418" w:type="dxa"/>
          </w:tcPr>
          <w:p w:rsidR="00BC44E7" w:rsidRPr="0028732A" w:rsidRDefault="00BC44E7" w:rsidP="00FD331F">
            <w:pPr>
              <w:jc w:val="both"/>
              <w:rPr>
                <w:rFonts w:ascii="Arial" w:hAnsi="Arial" w:cs="Arial"/>
                <w:sz w:val="20"/>
                <w:szCs w:val="20"/>
              </w:rPr>
            </w:pPr>
            <w:r w:rsidRPr="0028732A">
              <w:rPr>
                <w:rFonts w:ascii="Arial" w:hAnsi="Arial" w:cs="Arial"/>
                <w:sz w:val="20"/>
                <w:szCs w:val="20"/>
              </w:rPr>
              <w:t xml:space="preserve">Clasificación </w:t>
            </w:r>
          </w:p>
        </w:tc>
        <w:tc>
          <w:tcPr>
            <w:tcW w:w="850" w:type="dxa"/>
          </w:tcPr>
          <w:p w:rsidR="00BC44E7" w:rsidRPr="0028732A" w:rsidRDefault="00BC44E7" w:rsidP="00FD331F">
            <w:pPr>
              <w:jc w:val="both"/>
              <w:rPr>
                <w:rFonts w:ascii="Arial" w:hAnsi="Arial" w:cs="Arial"/>
                <w:sz w:val="20"/>
                <w:szCs w:val="20"/>
              </w:rPr>
            </w:pPr>
            <w:r w:rsidRPr="0028732A">
              <w:rPr>
                <w:rFonts w:ascii="Arial" w:hAnsi="Arial" w:cs="Arial"/>
                <w:sz w:val="20"/>
                <w:szCs w:val="20"/>
              </w:rPr>
              <w:t xml:space="preserve">Vía de </w:t>
            </w:r>
            <w:r>
              <w:rPr>
                <w:rFonts w:ascii="Arial" w:hAnsi="Arial" w:cs="Arial"/>
                <w:sz w:val="20"/>
                <w:szCs w:val="20"/>
              </w:rPr>
              <w:t>adm.</w:t>
            </w:r>
            <w:r w:rsidRPr="0028732A">
              <w:rPr>
                <w:rFonts w:ascii="Arial" w:hAnsi="Arial" w:cs="Arial"/>
                <w:sz w:val="20"/>
                <w:szCs w:val="20"/>
              </w:rPr>
              <w:t xml:space="preserve"> </w:t>
            </w:r>
          </w:p>
        </w:tc>
        <w:tc>
          <w:tcPr>
            <w:tcW w:w="2383" w:type="dxa"/>
          </w:tcPr>
          <w:p w:rsidR="00BC44E7" w:rsidRPr="0028732A" w:rsidRDefault="00BC44E7" w:rsidP="00FD331F">
            <w:pPr>
              <w:jc w:val="both"/>
              <w:rPr>
                <w:rFonts w:ascii="Arial" w:hAnsi="Arial" w:cs="Arial"/>
                <w:sz w:val="20"/>
                <w:szCs w:val="20"/>
              </w:rPr>
            </w:pPr>
            <w:r w:rsidRPr="0028732A">
              <w:rPr>
                <w:rFonts w:ascii="Arial" w:hAnsi="Arial" w:cs="Arial"/>
                <w:sz w:val="20"/>
                <w:szCs w:val="20"/>
              </w:rPr>
              <w:t>Efectos secundarios</w:t>
            </w:r>
          </w:p>
        </w:tc>
        <w:tc>
          <w:tcPr>
            <w:tcW w:w="3146" w:type="dxa"/>
          </w:tcPr>
          <w:p w:rsidR="00BC44E7" w:rsidRPr="0028732A" w:rsidRDefault="00BC44E7" w:rsidP="00FD331F">
            <w:pPr>
              <w:jc w:val="both"/>
              <w:rPr>
                <w:rFonts w:ascii="Arial" w:hAnsi="Arial" w:cs="Arial"/>
                <w:sz w:val="20"/>
                <w:szCs w:val="20"/>
              </w:rPr>
            </w:pPr>
            <w:r w:rsidRPr="0028732A">
              <w:rPr>
                <w:rFonts w:ascii="Arial" w:hAnsi="Arial" w:cs="Arial"/>
                <w:sz w:val="20"/>
                <w:szCs w:val="20"/>
              </w:rPr>
              <w:t>Consideraciones especiales</w:t>
            </w:r>
          </w:p>
        </w:tc>
        <w:tc>
          <w:tcPr>
            <w:tcW w:w="4110" w:type="dxa"/>
          </w:tcPr>
          <w:p w:rsidR="00BC44E7" w:rsidRPr="0028732A" w:rsidRDefault="00BC44E7" w:rsidP="00FD331F">
            <w:pPr>
              <w:jc w:val="both"/>
              <w:rPr>
                <w:rFonts w:ascii="Arial" w:hAnsi="Arial" w:cs="Arial"/>
                <w:sz w:val="20"/>
                <w:szCs w:val="20"/>
              </w:rPr>
            </w:pPr>
            <w:r w:rsidRPr="0028732A">
              <w:rPr>
                <w:rFonts w:ascii="Arial" w:hAnsi="Arial" w:cs="Arial"/>
                <w:sz w:val="20"/>
                <w:szCs w:val="20"/>
              </w:rPr>
              <w:t>Acciones de enfermería</w:t>
            </w:r>
          </w:p>
        </w:tc>
      </w:tr>
      <w:tr w:rsidR="00BC44E7" w:rsidTr="00C11C9E">
        <w:tc>
          <w:tcPr>
            <w:tcW w:w="1242" w:type="dxa"/>
          </w:tcPr>
          <w:p w:rsidR="00526F00" w:rsidRDefault="00526F00" w:rsidP="00FD331F">
            <w:pPr>
              <w:jc w:val="both"/>
              <w:rPr>
                <w:rFonts w:ascii="Arial" w:hAnsi="Arial" w:cs="Arial"/>
                <w:sz w:val="16"/>
                <w:szCs w:val="16"/>
              </w:rPr>
            </w:pPr>
          </w:p>
          <w:p w:rsidR="00BC44E7" w:rsidRDefault="00DA6976" w:rsidP="00FD331F">
            <w:pPr>
              <w:jc w:val="both"/>
              <w:rPr>
                <w:rFonts w:ascii="Arial" w:hAnsi="Arial" w:cs="Arial"/>
                <w:sz w:val="16"/>
                <w:szCs w:val="16"/>
              </w:rPr>
            </w:pPr>
            <w:r>
              <w:rPr>
                <w:rFonts w:ascii="Arial" w:hAnsi="Arial" w:cs="Arial"/>
                <w:sz w:val="16"/>
                <w:szCs w:val="16"/>
              </w:rPr>
              <w:t>CCNU</w:t>
            </w:r>
          </w:p>
          <w:p w:rsidR="00DA6976" w:rsidRPr="00035BF7" w:rsidRDefault="00DA6976" w:rsidP="00FD331F">
            <w:pPr>
              <w:jc w:val="both"/>
              <w:rPr>
                <w:rFonts w:ascii="Arial" w:hAnsi="Arial" w:cs="Arial"/>
                <w:sz w:val="16"/>
                <w:szCs w:val="16"/>
              </w:rPr>
            </w:pPr>
            <w:r>
              <w:rPr>
                <w:rFonts w:ascii="Arial" w:hAnsi="Arial" w:cs="Arial"/>
                <w:sz w:val="16"/>
                <w:szCs w:val="16"/>
              </w:rPr>
              <w:t>(Lomustine</w:t>
            </w:r>
            <w:r w:rsidR="00526F00">
              <w:rPr>
                <w:rFonts w:ascii="Arial" w:hAnsi="Arial" w:cs="Arial"/>
                <w:sz w:val="16"/>
                <w:szCs w:val="16"/>
              </w:rPr>
              <w:t>, CeeNu)</w:t>
            </w:r>
          </w:p>
        </w:tc>
        <w:tc>
          <w:tcPr>
            <w:tcW w:w="1418" w:type="dxa"/>
          </w:tcPr>
          <w:p w:rsidR="00526F00" w:rsidRDefault="00526F00" w:rsidP="00FD331F">
            <w:pPr>
              <w:jc w:val="both"/>
              <w:rPr>
                <w:rFonts w:ascii="Arial" w:hAnsi="Arial" w:cs="Arial"/>
                <w:sz w:val="16"/>
                <w:szCs w:val="16"/>
              </w:rPr>
            </w:pPr>
          </w:p>
          <w:p w:rsidR="00BC44E7" w:rsidRPr="00035BF7" w:rsidRDefault="00526F00" w:rsidP="00FD331F">
            <w:pPr>
              <w:jc w:val="both"/>
              <w:rPr>
                <w:rFonts w:ascii="Arial" w:hAnsi="Arial" w:cs="Arial"/>
                <w:sz w:val="16"/>
                <w:szCs w:val="16"/>
              </w:rPr>
            </w:pPr>
            <w:r>
              <w:rPr>
                <w:rFonts w:ascii="Arial" w:hAnsi="Arial" w:cs="Arial"/>
                <w:sz w:val="16"/>
                <w:szCs w:val="16"/>
              </w:rPr>
              <w:t>Agente alcalinizante</w:t>
            </w:r>
          </w:p>
        </w:tc>
        <w:tc>
          <w:tcPr>
            <w:tcW w:w="850" w:type="dxa"/>
          </w:tcPr>
          <w:p w:rsidR="00526F00" w:rsidRDefault="00526F00" w:rsidP="00FD331F">
            <w:pPr>
              <w:jc w:val="both"/>
              <w:rPr>
                <w:rFonts w:ascii="Arial" w:hAnsi="Arial" w:cs="Arial"/>
                <w:sz w:val="16"/>
                <w:szCs w:val="16"/>
              </w:rPr>
            </w:pPr>
          </w:p>
          <w:p w:rsidR="00BC44E7" w:rsidRPr="00035BF7" w:rsidRDefault="00526F00" w:rsidP="00FD331F">
            <w:pPr>
              <w:jc w:val="both"/>
              <w:rPr>
                <w:rFonts w:ascii="Arial" w:hAnsi="Arial" w:cs="Arial"/>
                <w:sz w:val="16"/>
                <w:szCs w:val="16"/>
              </w:rPr>
            </w:pPr>
            <w:r>
              <w:rPr>
                <w:rFonts w:ascii="Arial" w:hAnsi="Arial" w:cs="Arial"/>
                <w:sz w:val="16"/>
                <w:szCs w:val="16"/>
              </w:rPr>
              <w:t>IV</w:t>
            </w:r>
          </w:p>
        </w:tc>
        <w:tc>
          <w:tcPr>
            <w:tcW w:w="2383" w:type="dxa"/>
          </w:tcPr>
          <w:p w:rsidR="00526F00" w:rsidRDefault="00526F00" w:rsidP="00FD331F">
            <w:pPr>
              <w:jc w:val="both"/>
              <w:rPr>
                <w:rFonts w:ascii="Arial" w:hAnsi="Arial" w:cs="Arial"/>
                <w:sz w:val="16"/>
                <w:szCs w:val="16"/>
              </w:rPr>
            </w:pPr>
          </w:p>
          <w:p w:rsidR="00BC44E7" w:rsidRDefault="00526F00" w:rsidP="00FD331F">
            <w:pPr>
              <w:jc w:val="both"/>
              <w:rPr>
                <w:rFonts w:ascii="Arial" w:hAnsi="Arial" w:cs="Arial"/>
                <w:sz w:val="16"/>
                <w:szCs w:val="16"/>
              </w:rPr>
            </w:pPr>
            <w:r>
              <w:rPr>
                <w:rFonts w:ascii="Arial" w:hAnsi="Arial" w:cs="Arial"/>
                <w:sz w:val="16"/>
                <w:szCs w:val="16"/>
              </w:rPr>
              <w:t xml:space="preserve">Frecuentes: nauseas, vómitos, mielosupresión. </w:t>
            </w:r>
          </w:p>
          <w:p w:rsidR="00BC44E7" w:rsidRDefault="00526F00" w:rsidP="00FD331F">
            <w:pPr>
              <w:jc w:val="both"/>
              <w:rPr>
                <w:rFonts w:ascii="Arial" w:hAnsi="Arial" w:cs="Arial"/>
                <w:sz w:val="16"/>
                <w:szCs w:val="16"/>
              </w:rPr>
            </w:pPr>
            <w:r>
              <w:rPr>
                <w:rFonts w:ascii="Arial" w:hAnsi="Arial" w:cs="Arial"/>
                <w:sz w:val="16"/>
                <w:szCs w:val="16"/>
              </w:rPr>
              <w:t>Ocasionales: anorexia.</w:t>
            </w:r>
          </w:p>
          <w:p w:rsidR="00526F00" w:rsidRDefault="00526F00" w:rsidP="00FD331F">
            <w:pPr>
              <w:jc w:val="both"/>
              <w:rPr>
                <w:rFonts w:ascii="Arial" w:hAnsi="Arial" w:cs="Arial"/>
                <w:sz w:val="16"/>
                <w:szCs w:val="16"/>
              </w:rPr>
            </w:pPr>
            <w:r>
              <w:rPr>
                <w:rFonts w:ascii="Arial" w:hAnsi="Arial" w:cs="Arial"/>
                <w:sz w:val="16"/>
                <w:szCs w:val="16"/>
              </w:rPr>
              <w:t>Raros: elevación de las enzimas hepáticas, toxicidad pulmonar, toxicidad renal, mielosupresión acumulativa</w:t>
            </w:r>
          </w:p>
          <w:p w:rsidR="00BC44E7" w:rsidRPr="00035BF7" w:rsidRDefault="00BC44E7" w:rsidP="00FD331F">
            <w:pPr>
              <w:jc w:val="both"/>
              <w:rPr>
                <w:rFonts w:ascii="Arial" w:hAnsi="Arial" w:cs="Arial"/>
                <w:sz w:val="16"/>
                <w:szCs w:val="16"/>
              </w:rPr>
            </w:pPr>
          </w:p>
        </w:tc>
        <w:tc>
          <w:tcPr>
            <w:tcW w:w="3146" w:type="dxa"/>
          </w:tcPr>
          <w:p w:rsidR="00526F00" w:rsidRDefault="00526F00" w:rsidP="00FD331F">
            <w:pPr>
              <w:jc w:val="both"/>
              <w:rPr>
                <w:rFonts w:ascii="Arial" w:hAnsi="Arial" w:cs="Arial"/>
                <w:sz w:val="16"/>
                <w:szCs w:val="16"/>
              </w:rPr>
            </w:pPr>
          </w:p>
          <w:p w:rsidR="00BC44E7" w:rsidRPr="00035BF7" w:rsidRDefault="00526F00" w:rsidP="00FD331F">
            <w:pPr>
              <w:jc w:val="both"/>
              <w:rPr>
                <w:rFonts w:ascii="Arial" w:hAnsi="Arial" w:cs="Arial"/>
                <w:sz w:val="16"/>
                <w:szCs w:val="16"/>
              </w:rPr>
            </w:pPr>
            <w:r>
              <w:rPr>
                <w:rFonts w:ascii="Arial" w:hAnsi="Arial" w:cs="Arial"/>
                <w:sz w:val="16"/>
                <w:szCs w:val="16"/>
              </w:rPr>
              <w:t>Mielosupresión retardada y acumulativa; el nadir de plaquetas (puede ser severo) es de cuatro semanas, el nadir de leucocitos (WBC) es de 5 a 6 semanas.</w:t>
            </w:r>
          </w:p>
        </w:tc>
        <w:tc>
          <w:tcPr>
            <w:tcW w:w="4110" w:type="dxa"/>
          </w:tcPr>
          <w:p w:rsidR="00526F00" w:rsidRDefault="00526F00" w:rsidP="00FD331F">
            <w:pPr>
              <w:jc w:val="both"/>
              <w:rPr>
                <w:rFonts w:ascii="Arial" w:hAnsi="Arial" w:cs="Arial"/>
                <w:sz w:val="16"/>
                <w:szCs w:val="16"/>
              </w:rPr>
            </w:pPr>
          </w:p>
          <w:p w:rsidR="00BC44E7" w:rsidRDefault="00526F00" w:rsidP="00FD331F">
            <w:pPr>
              <w:jc w:val="both"/>
              <w:rPr>
                <w:rFonts w:ascii="Arial" w:hAnsi="Arial" w:cs="Arial"/>
                <w:sz w:val="16"/>
                <w:szCs w:val="16"/>
              </w:rPr>
            </w:pPr>
            <w:r>
              <w:rPr>
                <w:rFonts w:ascii="Arial" w:hAnsi="Arial" w:cs="Arial"/>
                <w:sz w:val="16"/>
                <w:szCs w:val="16"/>
              </w:rPr>
              <w:t>Obtener los valores iniciales de las pruebas de función pulmonar.</w:t>
            </w:r>
          </w:p>
          <w:p w:rsidR="00526F00" w:rsidRPr="00035BF7" w:rsidRDefault="00526F00" w:rsidP="00FD331F">
            <w:pPr>
              <w:jc w:val="both"/>
              <w:rPr>
                <w:rFonts w:ascii="Arial" w:hAnsi="Arial" w:cs="Arial"/>
                <w:sz w:val="16"/>
                <w:szCs w:val="16"/>
              </w:rPr>
            </w:pPr>
            <w:r>
              <w:rPr>
                <w:rFonts w:ascii="Arial" w:hAnsi="Arial" w:cs="Arial"/>
                <w:sz w:val="16"/>
                <w:szCs w:val="16"/>
              </w:rPr>
              <w:t xml:space="preserve">Administrar por vía oral en una dosis con el estómago vacío. </w:t>
            </w:r>
          </w:p>
        </w:tc>
      </w:tr>
      <w:tr w:rsidR="00BC44E7" w:rsidTr="00C11C9E">
        <w:tc>
          <w:tcPr>
            <w:tcW w:w="1242" w:type="dxa"/>
          </w:tcPr>
          <w:p w:rsidR="00526F00" w:rsidRPr="00035BF7" w:rsidRDefault="00526F00" w:rsidP="00FD331F">
            <w:pPr>
              <w:jc w:val="both"/>
              <w:rPr>
                <w:rFonts w:ascii="Arial" w:hAnsi="Arial" w:cs="Arial"/>
                <w:sz w:val="16"/>
                <w:szCs w:val="16"/>
              </w:rPr>
            </w:pPr>
            <w:r>
              <w:rPr>
                <w:rFonts w:ascii="Arial" w:hAnsi="Arial" w:cs="Arial"/>
                <w:sz w:val="16"/>
                <w:szCs w:val="16"/>
              </w:rPr>
              <w:t>Cisplatino (</w:t>
            </w:r>
            <w:r w:rsidR="00F500AC">
              <w:rPr>
                <w:rFonts w:ascii="Arial" w:hAnsi="Arial" w:cs="Arial"/>
                <w:sz w:val="16"/>
                <w:szCs w:val="16"/>
              </w:rPr>
              <w:t>platinol-AQ)</w:t>
            </w:r>
          </w:p>
        </w:tc>
        <w:tc>
          <w:tcPr>
            <w:tcW w:w="1418" w:type="dxa"/>
          </w:tcPr>
          <w:p w:rsidR="00BC44E7" w:rsidRPr="00035BF7" w:rsidRDefault="00F500AC" w:rsidP="00FD331F">
            <w:pPr>
              <w:jc w:val="both"/>
              <w:rPr>
                <w:rFonts w:ascii="Arial" w:hAnsi="Arial" w:cs="Arial"/>
                <w:sz w:val="16"/>
                <w:szCs w:val="16"/>
              </w:rPr>
            </w:pPr>
            <w:r>
              <w:rPr>
                <w:rFonts w:ascii="Arial" w:hAnsi="Arial" w:cs="Arial"/>
                <w:sz w:val="16"/>
                <w:szCs w:val="16"/>
              </w:rPr>
              <w:t>Agente alcalinizante</w:t>
            </w:r>
          </w:p>
        </w:tc>
        <w:tc>
          <w:tcPr>
            <w:tcW w:w="850" w:type="dxa"/>
          </w:tcPr>
          <w:p w:rsidR="00BC44E7" w:rsidRPr="00035BF7" w:rsidRDefault="00F500AC" w:rsidP="00FD331F">
            <w:pPr>
              <w:jc w:val="both"/>
              <w:rPr>
                <w:rFonts w:ascii="Arial" w:hAnsi="Arial" w:cs="Arial"/>
                <w:sz w:val="16"/>
                <w:szCs w:val="16"/>
              </w:rPr>
            </w:pPr>
            <w:r>
              <w:rPr>
                <w:rFonts w:ascii="Arial" w:hAnsi="Arial" w:cs="Arial"/>
                <w:sz w:val="16"/>
                <w:szCs w:val="16"/>
              </w:rPr>
              <w:t>IV</w:t>
            </w:r>
          </w:p>
        </w:tc>
        <w:tc>
          <w:tcPr>
            <w:tcW w:w="2383" w:type="dxa"/>
          </w:tcPr>
          <w:p w:rsidR="00BC44E7" w:rsidRDefault="00F500AC" w:rsidP="00FD331F">
            <w:pPr>
              <w:jc w:val="both"/>
              <w:rPr>
                <w:rFonts w:ascii="Arial" w:hAnsi="Arial" w:cs="Arial"/>
                <w:sz w:val="16"/>
                <w:szCs w:val="16"/>
              </w:rPr>
            </w:pPr>
            <w:r>
              <w:rPr>
                <w:rFonts w:ascii="Arial" w:hAnsi="Arial" w:cs="Arial"/>
                <w:sz w:val="16"/>
                <w:szCs w:val="16"/>
              </w:rPr>
              <w:t>Frecuentes: náuseas y vómito (severos), anorexia, mielosupresión (leve), hipomagnesemia, pérdida de la audición a sonidos de alta frecuencia, nefrotoxicidad.</w:t>
            </w:r>
          </w:p>
          <w:p w:rsidR="00F500AC" w:rsidRDefault="00F500AC" w:rsidP="00FD331F">
            <w:pPr>
              <w:jc w:val="both"/>
              <w:rPr>
                <w:rFonts w:ascii="Arial" w:hAnsi="Arial" w:cs="Arial"/>
                <w:sz w:val="16"/>
                <w:szCs w:val="16"/>
              </w:rPr>
            </w:pPr>
            <w:r>
              <w:rPr>
                <w:rFonts w:ascii="Arial" w:hAnsi="Arial" w:cs="Arial"/>
                <w:sz w:val="16"/>
                <w:szCs w:val="16"/>
              </w:rPr>
              <w:t>Ocasionales: gusto metálico, alteraciones electrolíticas, hipoacusia en el rango auditivo normal.</w:t>
            </w:r>
          </w:p>
          <w:p w:rsidR="00F500AC" w:rsidRDefault="00F500AC" w:rsidP="00FD331F">
            <w:pPr>
              <w:jc w:val="both"/>
              <w:rPr>
                <w:rFonts w:ascii="Arial" w:hAnsi="Arial" w:cs="Arial"/>
                <w:sz w:val="16"/>
                <w:szCs w:val="16"/>
              </w:rPr>
            </w:pPr>
            <w:r>
              <w:rPr>
                <w:rFonts w:ascii="Arial" w:hAnsi="Arial" w:cs="Arial"/>
                <w:sz w:val="16"/>
                <w:szCs w:val="16"/>
              </w:rPr>
              <w:t>Raros: reacción anafiláctica, neuropatías periféricas, acúfenos, convulsiones, toxicidad hepática, cáncer secundario.</w:t>
            </w:r>
          </w:p>
          <w:p w:rsidR="00F500AC" w:rsidRPr="00035BF7" w:rsidRDefault="00F500AC" w:rsidP="00FD331F">
            <w:pPr>
              <w:jc w:val="both"/>
              <w:rPr>
                <w:rFonts w:ascii="Arial" w:hAnsi="Arial" w:cs="Arial"/>
                <w:sz w:val="16"/>
                <w:szCs w:val="16"/>
              </w:rPr>
            </w:pPr>
          </w:p>
        </w:tc>
        <w:tc>
          <w:tcPr>
            <w:tcW w:w="3146" w:type="dxa"/>
          </w:tcPr>
          <w:p w:rsidR="00BC44E7" w:rsidRDefault="00F500AC" w:rsidP="00FD331F">
            <w:pPr>
              <w:jc w:val="both"/>
              <w:rPr>
                <w:rFonts w:ascii="Arial" w:hAnsi="Arial" w:cs="Arial"/>
                <w:sz w:val="16"/>
                <w:szCs w:val="16"/>
              </w:rPr>
            </w:pPr>
            <w:r>
              <w:rPr>
                <w:rFonts w:ascii="Arial" w:hAnsi="Arial" w:cs="Arial"/>
                <w:sz w:val="16"/>
                <w:szCs w:val="16"/>
              </w:rPr>
              <w:t>Sinergístico con la radioterapia.</w:t>
            </w:r>
          </w:p>
          <w:p w:rsidR="00F500AC" w:rsidRDefault="007A4A43" w:rsidP="00FD331F">
            <w:pPr>
              <w:jc w:val="both"/>
              <w:rPr>
                <w:rFonts w:ascii="Arial" w:hAnsi="Arial" w:cs="Arial"/>
                <w:sz w:val="16"/>
                <w:szCs w:val="16"/>
              </w:rPr>
            </w:pPr>
            <w:r>
              <w:rPr>
                <w:rFonts w:ascii="Arial" w:hAnsi="Arial" w:cs="Arial"/>
                <w:sz w:val="16"/>
                <w:szCs w:val="16"/>
              </w:rPr>
              <w:t>El aluminio reacciona con el cisplatino, lo cual causa la formación de precipitados y la pérdida de potencia; por lo tanto, no permita que las agujas o equipos para infusión IV que contengan partes de aluminio entren en contacto con el fármaco.</w:t>
            </w:r>
          </w:p>
          <w:p w:rsidR="007A4A43" w:rsidRPr="00035BF7" w:rsidRDefault="007A4A43" w:rsidP="00FD331F">
            <w:pPr>
              <w:jc w:val="both"/>
              <w:rPr>
                <w:rFonts w:ascii="Arial" w:hAnsi="Arial" w:cs="Arial"/>
                <w:sz w:val="16"/>
                <w:szCs w:val="16"/>
              </w:rPr>
            </w:pPr>
            <w:r>
              <w:rPr>
                <w:rFonts w:ascii="Arial" w:hAnsi="Arial" w:cs="Arial"/>
                <w:sz w:val="16"/>
                <w:szCs w:val="16"/>
              </w:rPr>
              <w:t>Intensifica la toxicidad de los aminoglucósidos y debe tenerse cuidado cuando se administre de forma concomitante.</w:t>
            </w:r>
          </w:p>
        </w:tc>
        <w:tc>
          <w:tcPr>
            <w:tcW w:w="4110" w:type="dxa"/>
          </w:tcPr>
          <w:p w:rsidR="00BC44E7" w:rsidRDefault="00490A5A" w:rsidP="00FD331F">
            <w:pPr>
              <w:jc w:val="both"/>
              <w:rPr>
                <w:rFonts w:ascii="Arial" w:hAnsi="Arial" w:cs="Arial"/>
                <w:sz w:val="16"/>
                <w:szCs w:val="16"/>
              </w:rPr>
            </w:pPr>
            <w:r>
              <w:rPr>
                <w:rFonts w:ascii="Arial" w:hAnsi="Arial" w:cs="Arial"/>
                <w:sz w:val="16"/>
                <w:szCs w:val="16"/>
              </w:rPr>
              <w:t>Premedicar con antieméticos; continuar durante y después de la terapia.</w:t>
            </w:r>
          </w:p>
          <w:p w:rsidR="00490A5A" w:rsidRDefault="00490A5A" w:rsidP="00FD331F">
            <w:pPr>
              <w:jc w:val="both"/>
              <w:rPr>
                <w:rFonts w:ascii="Arial" w:hAnsi="Arial" w:cs="Arial"/>
                <w:sz w:val="16"/>
                <w:szCs w:val="16"/>
              </w:rPr>
            </w:pPr>
            <w:r>
              <w:rPr>
                <w:rFonts w:ascii="Arial" w:hAnsi="Arial" w:cs="Arial"/>
                <w:sz w:val="16"/>
                <w:szCs w:val="16"/>
              </w:rPr>
              <w:t>Causa náuseas y vómito retardados; asegurarse de que se tengan antieméticos disponibles en casa.</w:t>
            </w:r>
          </w:p>
          <w:p w:rsidR="00490A5A" w:rsidRDefault="00490A5A" w:rsidP="00FD331F">
            <w:pPr>
              <w:jc w:val="both"/>
              <w:rPr>
                <w:rFonts w:ascii="Arial" w:hAnsi="Arial" w:cs="Arial"/>
                <w:sz w:val="16"/>
                <w:szCs w:val="16"/>
              </w:rPr>
            </w:pPr>
            <w:r>
              <w:rPr>
                <w:rFonts w:ascii="Arial" w:hAnsi="Arial" w:cs="Arial"/>
                <w:sz w:val="16"/>
                <w:szCs w:val="16"/>
              </w:rPr>
              <w:t>Monitorear cuidadosamente los ingresos y egresos durante la terapia.</w:t>
            </w:r>
          </w:p>
          <w:p w:rsidR="00490A5A" w:rsidRDefault="00490A5A" w:rsidP="00FD331F">
            <w:pPr>
              <w:jc w:val="both"/>
              <w:rPr>
                <w:rFonts w:ascii="Arial" w:hAnsi="Arial" w:cs="Arial"/>
                <w:sz w:val="16"/>
                <w:szCs w:val="16"/>
              </w:rPr>
            </w:pPr>
            <w:r>
              <w:rPr>
                <w:rFonts w:ascii="Arial" w:hAnsi="Arial" w:cs="Arial"/>
                <w:sz w:val="16"/>
                <w:szCs w:val="16"/>
              </w:rPr>
              <w:t>Mantener un gasto urinario de por lo menos 2 ml/kg/h.</w:t>
            </w:r>
          </w:p>
          <w:p w:rsidR="00490A5A" w:rsidRDefault="00490A5A" w:rsidP="00FD331F">
            <w:pPr>
              <w:jc w:val="both"/>
              <w:rPr>
                <w:rFonts w:ascii="Arial" w:hAnsi="Arial" w:cs="Arial"/>
                <w:sz w:val="16"/>
                <w:szCs w:val="16"/>
              </w:rPr>
            </w:pPr>
            <w:r>
              <w:rPr>
                <w:rFonts w:ascii="Arial" w:hAnsi="Arial" w:cs="Arial"/>
                <w:sz w:val="16"/>
                <w:szCs w:val="16"/>
              </w:rPr>
              <w:t>Administrar furosemida o manitol según las indicaciones para asegurar la eliminación adecuada de orina.</w:t>
            </w:r>
          </w:p>
          <w:p w:rsidR="00490A5A" w:rsidRDefault="00490A5A" w:rsidP="00FD331F">
            <w:pPr>
              <w:jc w:val="both"/>
              <w:rPr>
                <w:rFonts w:ascii="Arial" w:hAnsi="Arial" w:cs="Arial"/>
                <w:sz w:val="16"/>
                <w:szCs w:val="16"/>
              </w:rPr>
            </w:pPr>
            <w:r>
              <w:rPr>
                <w:rFonts w:ascii="Arial" w:hAnsi="Arial" w:cs="Arial"/>
                <w:sz w:val="16"/>
                <w:szCs w:val="16"/>
              </w:rPr>
              <w:t>Para reducir el riesgo de hipomagnesemia, suplementar con magnesio.</w:t>
            </w:r>
          </w:p>
          <w:p w:rsidR="00490A5A" w:rsidRPr="00035BF7" w:rsidRDefault="00490A5A" w:rsidP="00FD331F">
            <w:pPr>
              <w:jc w:val="both"/>
              <w:rPr>
                <w:rFonts w:ascii="Arial" w:hAnsi="Arial" w:cs="Arial"/>
                <w:sz w:val="16"/>
                <w:szCs w:val="16"/>
              </w:rPr>
            </w:pPr>
            <w:r>
              <w:rPr>
                <w:rFonts w:ascii="Arial" w:hAnsi="Arial" w:cs="Arial"/>
                <w:sz w:val="16"/>
                <w:szCs w:val="16"/>
              </w:rPr>
              <w:t>Realizar pruebas audiométricas seriadas al inicio y en el periodo de seguimiento.</w:t>
            </w:r>
          </w:p>
        </w:tc>
      </w:tr>
    </w:tbl>
    <w:p w:rsidR="00DA6976" w:rsidRDefault="00DA6976" w:rsidP="00DA6976">
      <w:pPr>
        <w:jc w:val="both"/>
        <w:rPr>
          <w:rFonts w:ascii="Arial" w:hAnsi="Arial" w:cs="Arial"/>
          <w:sz w:val="24"/>
          <w:szCs w:val="24"/>
        </w:rPr>
      </w:pPr>
    </w:p>
    <w:p w:rsidR="00490A5A" w:rsidRDefault="00490A5A" w:rsidP="00DA6976">
      <w:pPr>
        <w:jc w:val="both"/>
        <w:rPr>
          <w:rFonts w:ascii="Arial" w:hAnsi="Arial" w:cs="Arial"/>
          <w:sz w:val="24"/>
          <w:szCs w:val="24"/>
        </w:rPr>
      </w:pPr>
    </w:p>
    <w:p w:rsidR="00490A5A" w:rsidRDefault="00490A5A" w:rsidP="00DA6976">
      <w:pPr>
        <w:jc w:val="both"/>
        <w:rPr>
          <w:rFonts w:ascii="Arial" w:hAnsi="Arial" w:cs="Arial"/>
          <w:sz w:val="24"/>
          <w:szCs w:val="24"/>
        </w:rPr>
      </w:pPr>
    </w:p>
    <w:p w:rsidR="00490A5A" w:rsidRDefault="00490A5A" w:rsidP="00DA6976">
      <w:pPr>
        <w:jc w:val="both"/>
        <w:rPr>
          <w:rFonts w:ascii="Arial" w:hAnsi="Arial" w:cs="Arial"/>
          <w:sz w:val="24"/>
          <w:szCs w:val="24"/>
        </w:rPr>
      </w:pPr>
    </w:p>
    <w:p w:rsidR="00DA6976" w:rsidRDefault="00DA6976" w:rsidP="00DA6976">
      <w:pPr>
        <w:jc w:val="both"/>
        <w:rPr>
          <w:rFonts w:ascii="Arial" w:hAnsi="Arial" w:cs="Arial"/>
          <w:sz w:val="24"/>
          <w:szCs w:val="24"/>
        </w:rPr>
      </w:pPr>
      <w:r>
        <w:rPr>
          <w:rFonts w:ascii="Arial" w:hAnsi="Arial" w:cs="Arial"/>
          <w:sz w:val="24"/>
          <w:szCs w:val="24"/>
        </w:rPr>
        <w:lastRenderedPageBreak/>
        <w:t>Tabla 1 Agentes quimioterapéuticos</w:t>
      </w:r>
    </w:p>
    <w:p w:rsidR="00BC44E7" w:rsidRDefault="00BC44E7" w:rsidP="00BC44E7">
      <w:pPr>
        <w:jc w:val="both"/>
        <w:rPr>
          <w:rFonts w:ascii="Arial" w:hAnsi="Arial" w:cs="Arial"/>
          <w:sz w:val="24"/>
          <w:szCs w:val="24"/>
        </w:rPr>
      </w:pPr>
    </w:p>
    <w:tbl>
      <w:tblPr>
        <w:tblStyle w:val="Tablaconcuadrcula"/>
        <w:tblW w:w="0" w:type="auto"/>
        <w:tblLayout w:type="fixed"/>
        <w:tblLook w:val="04A0" w:firstRow="1" w:lastRow="0" w:firstColumn="1" w:lastColumn="0" w:noHBand="0" w:noVBand="1"/>
      </w:tblPr>
      <w:tblGrid>
        <w:gridCol w:w="1242"/>
        <w:gridCol w:w="1418"/>
        <w:gridCol w:w="850"/>
        <w:gridCol w:w="2383"/>
        <w:gridCol w:w="1706"/>
        <w:gridCol w:w="5409"/>
      </w:tblGrid>
      <w:tr w:rsidR="00BC44E7" w:rsidTr="00C11C9E">
        <w:tc>
          <w:tcPr>
            <w:tcW w:w="1242" w:type="dxa"/>
          </w:tcPr>
          <w:p w:rsidR="00BC44E7" w:rsidRPr="0028732A" w:rsidRDefault="00BC44E7" w:rsidP="00FD331F">
            <w:pPr>
              <w:jc w:val="both"/>
              <w:rPr>
                <w:rFonts w:ascii="Arial" w:hAnsi="Arial" w:cs="Arial"/>
                <w:sz w:val="20"/>
                <w:szCs w:val="20"/>
              </w:rPr>
            </w:pPr>
            <w:r w:rsidRPr="0028732A">
              <w:rPr>
                <w:rFonts w:ascii="Arial" w:hAnsi="Arial" w:cs="Arial"/>
                <w:sz w:val="20"/>
                <w:szCs w:val="20"/>
              </w:rPr>
              <w:t>fármaco</w:t>
            </w:r>
          </w:p>
        </w:tc>
        <w:tc>
          <w:tcPr>
            <w:tcW w:w="1418" w:type="dxa"/>
          </w:tcPr>
          <w:p w:rsidR="00BC44E7" w:rsidRPr="0028732A" w:rsidRDefault="00BC44E7" w:rsidP="00FD331F">
            <w:pPr>
              <w:jc w:val="both"/>
              <w:rPr>
                <w:rFonts w:ascii="Arial" w:hAnsi="Arial" w:cs="Arial"/>
                <w:sz w:val="20"/>
                <w:szCs w:val="20"/>
              </w:rPr>
            </w:pPr>
            <w:r w:rsidRPr="0028732A">
              <w:rPr>
                <w:rFonts w:ascii="Arial" w:hAnsi="Arial" w:cs="Arial"/>
                <w:sz w:val="20"/>
                <w:szCs w:val="20"/>
              </w:rPr>
              <w:t xml:space="preserve">Clasificación </w:t>
            </w:r>
          </w:p>
        </w:tc>
        <w:tc>
          <w:tcPr>
            <w:tcW w:w="850" w:type="dxa"/>
          </w:tcPr>
          <w:p w:rsidR="00BC44E7" w:rsidRPr="0028732A" w:rsidRDefault="00BC44E7" w:rsidP="00FD331F">
            <w:pPr>
              <w:jc w:val="both"/>
              <w:rPr>
                <w:rFonts w:ascii="Arial" w:hAnsi="Arial" w:cs="Arial"/>
                <w:sz w:val="20"/>
                <w:szCs w:val="20"/>
              </w:rPr>
            </w:pPr>
            <w:r w:rsidRPr="0028732A">
              <w:rPr>
                <w:rFonts w:ascii="Arial" w:hAnsi="Arial" w:cs="Arial"/>
                <w:sz w:val="20"/>
                <w:szCs w:val="20"/>
              </w:rPr>
              <w:t xml:space="preserve">Vía de </w:t>
            </w:r>
            <w:r>
              <w:rPr>
                <w:rFonts w:ascii="Arial" w:hAnsi="Arial" w:cs="Arial"/>
                <w:sz w:val="20"/>
                <w:szCs w:val="20"/>
              </w:rPr>
              <w:t>adm.</w:t>
            </w:r>
            <w:r w:rsidRPr="0028732A">
              <w:rPr>
                <w:rFonts w:ascii="Arial" w:hAnsi="Arial" w:cs="Arial"/>
                <w:sz w:val="20"/>
                <w:szCs w:val="20"/>
              </w:rPr>
              <w:t xml:space="preserve"> </w:t>
            </w:r>
          </w:p>
        </w:tc>
        <w:tc>
          <w:tcPr>
            <w:tcW w:w="2383" w:type="dxa"/>
          </w:tcPr>
          <w:p w:rsidR="00BC44E7" w:rsidRPr="0028732A" w:rsidRDefault="00BC44E7" w:rsidP="00FD331F">
            <w:pPr>
              <w:jc w:val="both"/>
              <w:rPr>
                <w:rFonts w:ascii="Arial" w:hAnsi="Arial" w:cs="Arial"/>
                <w:sz w:val="20"/>
                <w:szCs w:val="20"/>
              </w:rPr>
            </w:pPr>
            <w:r w:rsidRPr="0028732A">
              <w:rPr>
                <w:rFonts w:ascii="Arial" w:hAnsi="Arial" w:cs="Arial"/>
                <w:sz w:val="20"/>
                <w:szCs w:val="20"/>
              </w:rPr>
              <w:t>Efectos secundarios</w:t>
            </w:r>
          </w:p>
        </w:tc>
        <w:tc>
          <w:tcPr>
            <w:tcW w:w="1706" w:type="dxa"/>
          </w:tcPr>
          <w:p w:rsidR="00BC44E7" w:rsidRPr="0028732A" w:rsidRDefault="00BC44E7" w:rsidP="00FD331F">
            <w:pPr>
              <w:jc w:val="both"/>
              <w:rPr>
                <w:rFonts w:ascii="Arial" w:hAnsi="Arial" w:cs="Arial"/>
                <w:sz w:val="20"/>
                <w:szCs w:val="20"/>
              </w:rPr>
            </w:pPr>
            <w:r w:rsidRPr="0028732A">
              <w:rPr>
                <w:rFonts w:ascii="Arial" w:hAnsi="Arial" w:cs="Arial"/>
                <w:sz w:val="20"/>
                <w:szCs w:val="20"/>
              </w:rPr>
              <w:t>Consideraciones especiales</w:t>
            </w:r>
          </w:p>
        </w:tc>
        <w:tc>
          <w:tcPr>
            <w:tcW w:w="5409" w:type="dxa"/>
          </w:tcPr>
          <w:p w:rsidR="00BC44E7" w:rsidRPr="0028732A" w:rsidRDefault="00BC44E7" w:rsidP="00FD331F">
            <w:pPr>
              <w:jc w:val="both"/>
              <w:rPr>
                <w:rFonts w:ascii="Arial" w:hAnsi="Arial" w:cs="Arial"/>
                <w:sz w:val="20"/>
                <w:szCs w:val="20"/>
              </w:rPr>
            </w:pPr>
            <w:r w:rsidRPr="0028732A">
              <w:rPr>
                <w:rFonts w:ascii="Arial" w:hAnsi="Arial" w:cs="Arial"/>
                <w:sz w:val="20"/>
                <w:szCs w:val="20"/>
              </w:rPr>
              <w:t>Acciones de enfermería</w:t>
            </w:r>
          </w:p>
        </w:tc>
      </w:tr>
      <w:tr w:rsidR="00BC44E7" w:rsidTr="00C11C9E">
        <w:tc>
          <w:tcPr>
            <w:tcW w:w="1242" w:type="dxa"/>
          </w:tcPr>
          <w:p w:rsidR="00E820F8" w:rsidRDefault="00E820F8" w:rsidP="00FD331F">
            <w:pPr>
              <w:jc w:val="both"/>
              <w:rPr>
                <w:rFonts w:ascii="Arial" w:hAnsi="Arial" w:cs="Arial"/>
                <w:sz w:val="16"/>
                <w:szCs w:val="16"/>
              </w:rPr>
            </w:pPr>
          </w:p>
          <w:p w:rsidR="00E820F8" w:rsidRDefault="00E820F8" w:rsidP="00FD331F">
            <w:pPr>
              <w:jc w:val="both"/>
              <w:rPr>
                <w:rFonts w:ascii="Arial" w:hAnsi="Arial" w:cs="Arial"/>
                <w:sz w:val="16"/>
                <w:szCs w:val="16"/>
              </w:rPr>
            </w:pPr>
            <w:r>
              <w:rPr>
                <w:rFonts w:ascii="Arial" w:hAnsi="Arial" w:cs="Arial"/>
                <w:sz w:val="16"/>
                <w:szCs w:val="16"/>
              </w:rPr>
              <w:t>Cladribina</w:t>
            </w:r>
          </w:p>
          <w:p w:rsidR="00BC44E7" w:rsidRPr="00035BF7" w:rsidRDefault="00E820F8" w:rsidP="00FD331F">
            <w:pPr>
              <w:jc w:val="both"/>
              <w:rPr>
                <w:rFonts w:ascii="Arial" w:hAnsi="Arial" w:cs="Arial"/>
                <w:sz w:val="16"/>
                <w:szCs w:val="16"/>
              </w:rPr>
            </w:pPr>
            <w:r>
              <w:rPr>
                <w:rFonts w:ascii="Arial" w:hAnsi="Arial" w:cs="Arial"/>
                <w:sz w:val="16"/>
                <w:szCs w:val="16"/>
              </w:rPr>
              <w:t>(Leustatin)</w:t>
            </w:r>
          </w:p>
        </w:tc>
        <w:tc>
          <w:tcPr>
            <w:tcW w:w="1418" w:type="dxa"/>
          </w:tcPr>
          <w:p w:rsidR="00E820F8" w:rsidRDefault="00E820F8" w:rsidP="00FD331F">
            <w:pPr>
              <w:jc w:val="both"/>
              <w:rPr>
                <w:rFonts w:ascii="Arial" w:hAnsi="Arial" w:cs="Arial"/>
                <w:sz w:val="16"/>
                <w:szCs w:val="16"/>
              </w:rPr>
            </w:pPr>
          </w:p>
          <w:p w:rsidR="00BC44E7" w:rsidRPr="00035BF7" w:rsidRDefault="00253FE8" w:rsidP="00FD331F">
            <w:pPr>
              <w:jc w:val="both"/>
              <w:rPr>
                <w:rFonts w:ascii="Arial" w:hAnsi="Arial" w:cs="Arial"/>
                <w:sz w:val="16"/>
                <w:szCs w:val="16"/>
              </w:rPr>
            </w:pPr>
            <w:r>
              <w:rPr>
                <w:rFonts w:ascii="Arial" w:hAnsi="Arial" w:cs="Arial"/>
                <w:sz w:val="16"/>
                <w:szCs w:val="16"/>
              </w:rPr>
              <w:t>Antimetabolito</w:t>
            </w:r>
          </w:p>
        </w:tc>
        <w:tc>
          <w:tcPr>
            <w:tcW w:w="850" w:type="dxa"/>
          </w:tcPr>
          <w:p w:rsidR="00E820F8" w:rsidRDefault="00E820F8" w:rsidP="00FD331F">
            <w:pPr>
              <w:jc w:val="both"/>
              <w:rPr>
                <w:rFonts w:ascii="Arial" w:hAnsi="Arial" w:cs="Arial"/>
                <w:sz w:val="16"/>
                <w:szCs w:val="16"/>
              </w:rPr>
            </w:pPr>
          </w:p>
          <w:p w:rsidR="00BC44E7" w:rsidRPr="00035BF7" w:rsidRDefault="00E820F8" w:rsidP="00FD331F">
            <w:pPr>
              <w:jc w:val="both"/>
              <w:rPr>
                <w:rFonts w:ascii="Arial" w:hAnsi="Arial" w:cs="Arial"/>
                <w:sz w:val="16"/>
                <w:szCs w:val="16"/>
              </w:rPr>
            </w:pPr>
            <w:r>
              <w:rPr>
                <w:rFonts w:ascii="Arial" w:hAnsi="Arial" w:cs="Arial"/>
                <w:sz w:val="16"/>
                <w:szCs w:val="16"/>
              </w:rPr>
              <w:t>IV</w:t>
            </w:r>
          </w:p>
        </w:tc>
        <w:tc>
          <w:tcPr>
            <w:tcW w:w="2383" w:type="dxa"/>
          </w:tcPr>
          <w:p w:rsidR="00E820F8" w:rsidRDefault="00E820F8" w:rsidP="00FD331F">
            <w:pPr>
              <w:jc w:val="both"/>
              <w:rPr>
                <w:rFonts w:ascii="Arial" w:hAnsi="Arial" w:cs="Arial"/>
                <w:sz w:val="16"/>
                <w:szCs w:val="16"/>
              </w:rPr>
            </w:pPr>
          </w:p>
          <w:p w:rsidR="00E820F8" w:rsidRDefault="00E820F8" w:rsidP="001D68AD">
            <w:pPr>
              <w:rPr>
                <w:rFonts w:ascii="Arial" w:hAnsi="Arial" w:cs="Arial"/>
                <w:sz w:val="16"/>
                <w:szCs w:val="16"/>
              </w:rPr>
            </w:pPr>
            <w:r w:rsidRPr="00253FE8">
              <w:rPr>
                <w:rFonts w:ascii="Arial" w:hAnsi="Arial" w:cs="Arial"/>
                <w:sz w:val="16"/>
                <w:szCs w:val="16"/>
              </w:rPr>
              <w:t>Frecuentes:</w:t>
            </w:r>
            <w:r w:rsidR="00253FE8">
              <w:rPr>
                <w:rFonts w:ascii="Arial" w:hAnsi="Arial" w:cs="Arial"/>
                <w:sz w:val="16"/>
                <w:szCs w:val="16"/>
              </w:rPr>
              <w:t xml:space="preserve"> nauseas</w:t>
            </w:r>
            <w:r>
              <w:rPr>
                <w:rFonts w:ascii="Arial" w:hAnsi="Arial" w:cs="Arial"/>
                <w:sz w:val="16"/>
                <w:szCs w:val="16"/>
              </w:rPr>
              <w:t>, mielosupresión,</w:t>
            </w:r>
            <w:r w:rsidR="007E634C">
              <w:rPr>
                <w:rFonts w:ascii="Arial" w:hAnsi="Arial" w:cs="Arial"/>
                <w:sz w:val="16"/>
                <w:szCs w:val="16"/>
              </w:rPr>
              <w:t xml:space="preserve"> </w:t>
            </w:r>
            <w:r>
              <w:rPr>
                <w:rFonts w:ascii="Arial" w:hAnsi="Arial" w:cs="Arial"/>
                <w:sz w:val="16"/>
                <w:szCs w:val="16"/>
              </w:rPr>
              <w:t>fiebre,</w:t>
            </w:r>
            <w:r w:rsidR="007E634C">
              <w:rPr>
                <w:rFonts w:ascii="Arial" w:hAnsi="Arial" w:cs="Arial"/>
                <w:sz w:val="16"/>
                <w:szCs w:val="16"/>
              </w:rPr>
              <w:t xml:space="preserve"> </w:t>
            </w:r>
            <w:r>
              <w:rPr>
                <w:rFonts w:ascii="Arial" w:hAnsi="Arial" w:cs="Arial"/>
                <w:sz w:val="16"/>
                <w:szCs w:val="16"/>
              </w:rPr>
              <w:t>fatiga,</w:t>
            </w:r>
          </w:p>
          <w:p w:rsidR="00BC44E7" w:rsidRDefault="00E820F8" w:rsidP="001D68AD">
            <w:pPr>
              <w:rPr>
                <w:rFonts w:ascii="Arial" w:hAnsi="Arial" w:cs="Arial"/>
                <w:sz w:val="16"/>
                <w:szCs w:val="16"/>
              </w:rPr>
            </w:pPr>
            <w:r>
              <w:rPr>
                <w:rFonts w:ascii="Arial" w:hAnsi="Arial" w:cs="Arial"/>
                <w:sz w:val="16"/>
                <w:szCs w:val="16"/>
              </w:rPr>
              <w:t>erupción</w:t>
            </w:r>
          </w:p>
          <w:p w:rsidR="00E820F8" w:rsidRPr="007E634C" w:rsidRDefault="00E820F8" w:rsidP="001D68AD">
            <w:pPr>
              <w:rPr>
                <w:rFonts w:ascii="Times New Roman" w:hAnsi="Times New Roman" w:cs="Times New Roman"/>
                <w:sz w:val="16"/>
                <w:szCs w:val="16"/>
              </w:rPr>
            </w:pPr>
          </w:p>
          <w:p w:rsidR="00E820F8" w:rsidRDefault="00E820F8" w:rsidP="001D68AD">
            <w:pPr>
              <w:rPr>
                <w:rFonts w:ascii="Arial" w:hAnsi="Arial" w:cs="Arial"/>
                <w:sz w:val="16"/>
                <w:szCs w:val="16"/>
              </w:rPr>
            </w:pPr>
            <w:r w:rsidRPr="00253FE8">
              <w:rPr>
                <w:rFonts w:ascii="Arial" w:hAnsi="Arial" w:cs="Arial"/>
                <w:sz w:val="16"/>
                <w:szCs w:val="16"/>
              </w:rPr>
              <w:t>Ocasionales:</w:t>
            </w:r>
            <w:r w:rsidR="007E634C">
              <w:rPr>
                <w:rFonts w:ascii="Arial" w:hAnsi="Arial" w:cs="Arial"/>
                <w:sz w:val="16"/>
                <w:szCs w:val="16"/>
              </w:rPr>
              <w:t xml:space="preserve"> </w:t>
            </w:r>
            <w:r>
              <w:rPr>
                <w:rFonts w:ascii="Arial" w:hAnsi="Arial" w:cs="Arial"/>
                <w:sz w:val="16"/>
                <w:szCs w:val="16"/>
              </w:rPr>
              <w:t>vómitos,</w:t>
            </w:r>
            <w:r w:rsidR="007E634C">
              <w:rPr>
                <w:rFonts w:ascii="Arial" w:hAnsi="Arial" w:cs="Arial"/>
                <w:sz w:val="16"/>
                <w:szCs w:val="16"/>
              </w:rPr>
              <w:t xml:space="preserve"> anorexia, tos</w:t>
            </w:r>
            <w:r>
              <w:rPr>
                <w:rFonts w:ascii="Arial" w:hAnsi="Arial" w:cs="Arial"/>
                <w:sz w:val="16"/>
                <w:szCs w:val="16"/>
              </w:rPr>
              <w:t>,</w:t>
            </w:r>
            <w:r w:rsidR="007E634C">
              <w:rPr>
                <w:rFonts w:ascii="Arial" w:hAnsi="Arial" w:cs="Arial"/>
                <w:sz w:val="16"/>
                <w:szCs w:val="16"/>
              </w:rPr>
              <w:t xml:space="preserve"> </w:t>
            </w:r>
            <w:r>
              <w:rPr>
                <w:rFonts w:ascii="Arial" w:hAnsi="Arial" w:cs="Arial"/>
                <w:sz w:val="16"/>
                <w:szCs w:val="16"/>
              </w:rPr>
              <w:t>estreñimiento.</w:t>
            </w:r>
          </w:p>
          <w:p w:rsidR="00BC44E7" w:rsidRDefault="00BC44E7" w:rsidP="001D68AD">
            <w:pPr>
              <w:rPr>
                <w:rFonts w:ascii="Arial" w:hAnsi="Arial" w:cs="Arial"/>
                <w:sz w:val="16"/>
                <w:szCs w:val="16"/>
              </w:rPr>
            </w:pPr>
          </w:p>
          <w:p w:rsidR="00BC44E7" w:rsidRPr="00035BF7" w:rsidRDefault="00BC44E7" w:rsidP="00FD331F">
            <w:pPr>
              <w:jc w:val="both"/>
              <w:rPr>
                <w:rFonts w:ascii="Arial" w:hAnsi="Arial" w:cs="Arial"/>
                <w:sz w:val="16"/>
                <w:szCs w:val="16"/>
              </w:rPr>
            </w:pPr>
          </w:p>
        </w:tc>
        <w:tc>
          <w:tcPr>
            <w:tcW w:w="1706" w:type="dxa"/>
          </w:tcPr>
          <w:p w:rsidR="00BC44E7" w:rsidRDefault="00BC44E7" w:rsidP="00FD331F">
            <w:pPr>
              <w:jc w:val="both"/>
              <w:rPr>
                <w:rFonts w:ascii="Arial" w:hAnsi="Arial" w:cs="Arial"/>
                <w:sz w:val="16"/>
                <w:szCs w:val="16"/>
              </w:rPr>
            </w:pPr>
          </w:p>
          <w:p w:rsidR="00E820F8" w:rsidRDefault="00E820F8" w:rsidP="001D68AD">
            <w:pPr>
              <w:rPr>
                <w:rFonts w:ascii="Arial" w:hAnsi="Arial" w:cs="Arial"/>
                <w:sz w:val="16"/>
                <w:szCs w:val="16"/>
              </w:rPr>
            </w:pPr>
            <w:r>
              <w:rPr>
                <w:rFonts w:ascii="Arial" w:hAnsi="Arial" w:cs="Arial"/>
                <w:sz w:val="16"/>
                <w:szCs w:val="16"/>
              </w:rPr>
              <w:t>Mayor riesgo de infección</w:t>
            </w:r>
            <w:r w:rsidR="001D68AD">
              <w:rPr>
                <w:rFonts w:ascii="Arial" w:hAnsi="Arial" w:cs="Arial"/>
                <w:sz w:val="16"/>
                <w:szCs w:val="16"/>
              </w:rPr>
              <w:t>.</w:t>
            </w:r>
          </w:p>
          <w:p w:rsidR="00E820F8" w:rsidRPr="00035BF7" w:rsidRDefault="00E820F8" w:rsidP="001D68AD">
            <w:pPr>
              <w:rPr>
                <w:rFonts w:ascii="Arial" w:hAnsi="Arial" w:cs="Arial"/>
                <w:sz w:val="16"/>
                <w:szCs w:val="16"/>
              </w:rPr>
            </w:pPr>
            <w:r>
              <w:rPr>
                <w:rFonts w:ascii="Arial" w:hAnsi="Arial" w:cs="Arial"/>
                <w:sz w:val="16"/>
                <w:szCs w:val="16"/>
              </w:rPr>
              <w:t>El fármaco se diluye en solución salina normal porque la dextrosa aumenta la degradación del fármaco.</w:t>
            </w:r>
          </w:p>
        </w:tc>
        <w:tc>
          <w:tcPr>
            <w:tcW w:w="5409" w:type="dxa"/>
          </w:tcPr>
          <w:p w:rsidR="00BC44E7" w:rsidRPr="00035BF7" w:rsidRDefault="00BC44E7" w:rsidP="00FD331F">
            <w:pPr>
              <w:jc w:val="both"/>
              <w:rPr>
                <w:rFonts w:ascii="Arial" w:hAnsi="Arial" w:cs="Arial"/>
                <w:sz w:val="16"/>
                <w:szCs w:val="16"/>
              </w:rPr>
            </w:pPr>
          </w:p>
        </w:tc>
      </w:tr>
      <w:tr w:rsidR="001D68AD" w:rsidTr="00C11C9E">
        <w:tc>
          <w:tcPr>
            <w:tcW w:w="1242" w:type="dxa"/>
          </w:tcPr>
          <w:p w:rsidR="00E34E7C" w:rsidRDefault="00E34E7C" w:rsidP="001D68AD">
            <w:pPr>
              <w:jc w:val="both"/>
              <w:rPr>
                <w:rFonts w:ascii="Arial" w:hAnsi="Arial" w:cs="Arial"/>
                <w:sz w:val="16"/>
                <w:szCs w:val="16"/>
              </w:rPr>
            </w:pPr>
          </w:p>
          <w:p w:rsidR="001D68AD" w:rsidRDefault="001D68AD" w:rsidP="001D68AD">
            <w:pPr>
              <w:jc w:val="both"/>
              <w:rPr>
                <w:rFonts w:ascii="Arial" w:hAnsi="Arial" w:cs="Arial"/>
                <w:sz w:val="16"/>
                <w:szCs w:val="16"/>
              </w:rPr>
            </w:pPr>
            <w:r>
              <w:rPr>
                <w:rFonts w:ascii="Arial" w:hAnsi="Arial" w:cs="Arial"/>
                <w:sz w:val="16"/>
                <w:szCs w:val="16"/>
              </w:rPr>
              <w:t>Clofarabine</w:t>
            </w:r>
          </w:p>
          <w:p w:rsidR="001D68AD" w:rsidRDefault="001D68AD" w:rsidP="001D68AD">
            <w:pPr>
              <w:jc w:val="both"/>
              <w:rPr>
                <w:rFonts w:ascii="Arial" w:hAnsi="Arial" w:cs="Arial"/>
                <w:sz w:val="16"/>
                <w:szCs w:val="16"/>
              </w:rPr>
            </w:pPr>
            <w:r>
              <w:rPr>
                <w:rFonts w:ascii="Arial" w:hAnsi="Arial" w:cs="Arial"/>
                <w:sz w:val="16"/>
                <w:szCs w:val="16"/>
              </w:rPr>
              <w:t>(Clolar,</w:t>
            </w:r>
          </w:p>
          <w:p w:rsidR="001D68AD" w:rsidRPr="00035BF7" w:rsidRDefault="001D68AD" w:rsidP="001D68AD">
            <w:pPr>
              <w:jc w:val="both"/>
              <w:rPr>
                <w:rFonts w:ascii="Arial" w:hAnsi="Arial" w:cs="Arial"/>
                <w:sz w:val="16"/>
                <w:szCs w:val="16"/>
              </w:rPr>
            </w:pPr>
            <w:r>
              <w:rPr>
                <w:rFonts w:ascii="Arial" w:hAnsi="Arial" w:cs="Arial"/>
                <w:sz w:val="16"/>
                <w:szCs w:val="16"/>
              </w:rPr>
              <w:t>clofarex)</w:t>
            </w:r>
          </w:p>
        </w:tc>
        <w:tc>
          <w:tcPr>
            <w:tcW w:w="1418" w:type="dxa"/>
          </w:tcPr>
          <w:p w:rsidR="00E34E7C" w:rsidRDefault="00E34E7C" w:rsidP="00FD331F">
            <w:pPr>
              <w:jc w:val="both"/>
              <w:rPr>
                <w:rFonts w:ascii="Arial" w:hAnsi="Arial" w:cs="Arial"/>
                <w:sz w:val="16"/>
                <w:szCs w:val="16"/>
              </w:rPr>
            </w:pPr>
          </w:p>
          <w:p w:rsidR="001D68AD" w:rsidRPr="00035BF7" w:rsidRDefault="001D68AD" w:rsidP="00FD331F">
            <w:pPr>
              <w:jc w:val="both"/>
              <w:rPr>
                <w:rFonts w:ascii="Arial" w:hAnsi="Arial" w:cs="Arial"/>
                <w:sz w:val="16"/>
                <w:szCs w:val="16"/>
              </w:rPr>
            </w:pPr>
            <w:r>
              <w:rPr>
                <w:rFonts w:ascii="Arial" w:hAnsi="Arial" w:cs="Arial"/>
                <w:sz w:val="16"/>
                <w:szCs w:val="16"/>
              </w:rPr>
              <w:t>Antimetabolito</w:t>
            </w:r>
          </w:p>
        </w:tc>
        <w:tc>
          <w:tcPr>
            <w:tcW w:w="850" w:type="dxa"/>
          </w:tcPr>
          <w:p w:rsidR="00E34E7C" w:rsidRDefault="00E34E7C" w:rsidP="00FD331F">
            <w:pPr>
              <w:jc w:val="both"/>
              <w:rPr>
                <w:rFonts w:ascii="Arial" w:hAnsi="Arial" w:cs="Arial"/>
                <w:sz w:val="16"/>
                <w:szCs w:val="16"/>
              </w:rPr>
            </w:pPr>
          </w:p>
          <w:p w:rsidR="001D68AD" w:rsidRPr="00035BF7" w:rsidRDefault="001D68AD" w:rsidP="00FD331F">
            <w:pPr>
              <w:jc w:val="both"/>
              <w:rPr>
                <w:rFonts w:ascii="Arial" w:hAnsi="Arial" w:cs="Arial"/>
                <w:sz w:val="16"/>
                <w:szCs w:val="16"/>
              </w:rPr>
            </w:pPr>
            <w:r>
              <w:rPr>
                <w:rFonts w:ascii="Arial" w:hAnsi="Arial" w:cs="Arial"/>
                <w:sz w:val="16"/>
                <w:szCs w:val="16"/>
              </w:rPr>
              <w:t>IV</w:t>
            </w:r>
          </w:p>
        </w:tc>
        <w:tc>
          <w:tcPr>
            <w:tcW w:w="2383" w:type="dxa"/>
          </w:tcPr>
          <w:p w:rsidR="001D68AD" w:rsidRDefault="001D68AD" w:rsidP="00FD331F">
            <w:pPr>
              <w:jc w:val="both"/>
              <w:rPr>
                <w:rFonts w:ascii="Arial" w:hAnsi="Arial" w:cs="Arial"/>
                <w:sz w:val="16"/>
                <w:szCs w:val="16"/>
              </w:rPr>
            </w:pPr>
          </w:p>
          <w:p w:rsidR="001D68AD" w:rsidRDefault="001D68AD" w:rsidP="00FD331F">
            <w:pPr>
              <w:rPr>
                <w:rFonts w:ascii="Arial" w:hAnsi="Arial" w:cs="Arial"/>
                <w:sz w:val="16"/>
                <w:szCs w:val="16"/>
              </w:rPr>
            </w:pPr>
            <w:r w:rsidRPr="00253FE8">
              <w:rPr>
                <w:rFonts w:ascii="Arial" w:hAnsi="Arial" w:cs="Arial"/>
                <w:sz w:val="16"/>
                <w:szCs w:val="16"/>
              </w:rPr>
              <w:t>Frecuentes:</w:t>
            </w:r>
            <w:r>
              <w:rPr>
                <w:rFonts w:ascii="Arial" w:hAnsi="Arial" w:cs="Arial"/>
                <w:sz w:val="16"/>
                <w:szCs w:val="16"/>
              </w:rPr>
              <w:t xml:space="preserve"> Derrame pericárdico, taquicardia, cambios en la presión arterial, edema, bochornos, dolor de cabeza, fiebre, fatiga, ansiedad, dolor, mareos, pruritis, dermatitis, nauseas, vómitos, diarrea, dolor abdominal, hematuria, mielosupresión, toxicidad hepática, tos, disnea</w:t>
            </w:r>
          </w:p>
          <w:p w:rsidR="001D68AD" w:rsidRDefault="001D68AD" w:rsidP="00FD331F">
            <w:pPr>
              <w:rPr>
                <w:rFonts w:ascii="Arial" w:hAnsi="Arial" w:cs="Arial"/>
                <w:sz w:val="16"/>
                <w:szCs w:val="16"/>
              </w:rPr>
            </w:pPr>
          </w:p>
          <w:p w:rsidR="001D68AD" w:rsidRPr="007E634C" w:rsidRDefault="001D68AD" w:rsidP="00FD331F">
            <w:pPr>
              <w:rPr>
                <w:rFonts w:ascii="Times New Roman" w:hAnsi="Times New Roman" w:cs="Times New Roman"/>
                <w:sz w:val="20"/>
                <w:szCs w:val="20"/>
              </w:rPr>
            </w:pPr>
            <w:r w:rsidRPr="00253FE8">
              <w:rPr>
                <w:rFonts w:ascii="Arial" w:hAnsi="Arial" w:cs="Arial"/>
                <w:sz w:val="16"/>
                <w:szCs w:val="16"/>
              </w:rPr>
              <w:t>Ocasionales:</w:t>
            </w:r>
            <w:r w:rsidRPr="007E634C">
              <w:rPr>
                <w:rFonts w:ascii="Times New Roman" w:hAnsi="Times New Roman" w:cs="Times New Roman"/>
                <w:sz w:val="20"/>
                <w:szCs w:val="20"/>
              </w:rPr>
              <w:t xml:space="preserve"> </w:t>
            </w:r>
            <w:r w:rsidRPr="00253FE8">
              <w:rPr>
                <w:rFonts w:ascii="Arial" w:hAnsi="Arial" w:cs="Arial"/>
                <w:sz w:val="16"/>
                <w:szCs w:val="16"/>
              </w:rPr>
              <w:t>creatinina aumentada, derrame pleural, síndrome de lisis tumoral, síndrome de respuesta inflamatoria sistémica (SIRS), síndrome de fuga capilar</w:t>
            </w:r>
            <w:r>
              <w:rPr>
                <w:rFonts w:ascii="Times New Roman" w:hAnsi="Times New Roman" w:cs="Times New Roman"/>
                <w:sz w:val="20"/>
                <w:szCs w:val="20"/>
              </w:rPr>
              <w:t xml:space="preserve"> </w:t>
            </w:r>
          </w:p>
          <w:p w:rsidR="001D68AD" w:rsidRDefault="001D68AD" w:rsidP="00FD331F">
            <w:pPr>
              <w:jc w:val="both"/>
              <w:rPr>
                <w:rFonts w:ascii="Arial" w:hAnsi="Arial" w:cs="Arial"/>
                <w:sz w:val="16"/>
                <w:szCs w:val="16"/>
              </w:rPr>
            </w:pPr>
          </w:p>
          <w:p w:rsidR="001D68AD" w:rsidRPr="00035BF7" w:rsidRDefault="001D68AD" w:rsidP="00FD331F">
            <w:pPr>
              <w:jc w:val="both"/>
              <w:rPr>
                <w:rFonts w:ascii="Arial" w:hAnsi="Arial" w:cs="Arial"/>
                <w:sz w:val="16"/>
                <w:szCs w:val="16"/>
              </w:rPr>
            </w:pPr>
          </w:p>
        </w:tc>
        <w:tc>
          <w:tcPr>
            <w:tcW w:w="1706" w:type="dxa"/>
          </w:tcPr>
          <w:p w:rsidR="001D68AD" w:rsidRDefault="001D68AD" w:rsidP="00FD331F">
            <w:pPr>
              <w:jc w:val="both"/>
              <w:rPr>
                <w:rFonts w:ascii="Arial" w:hAnsi="Arial" w:cs="Arial"/>
                <w:sz w:val="16"/>
                <w:szCs w:val="16"/>
              </w:rPr>
            </w:pPr>
          </w:p>
          <w:p w:rsidR="00E34E7C" w:rsidRPr="00035BF7" w:rsidRDefault="00E34E7C" w:rsidP="00FD331F">
            <w:pPr>
              <w:jc w:val="both"/>
              <w:rPr>
                <w:rFonts w:ascii="Arial" w:hAnsi="Arial" w:cs="Arial"/>
                <w:sz w:val="16"/>
                <w:szCs w:val="16"/>
              </w:rPr>
            </w:pPr>
            <w:r>
              <w:rPr>
                <w:rFonts w:ascii="Arial" w:hAnsi="Arial" w:cs="Arial"/>
                <w:sz w:val="16"/>
                <w:szCs w:val="16"/>
              </w:rPr>
              <w:t>Se recomienda líquidos IV de forma continua durante la administración</w:t>
            </w:r>
          </w:p>
        </w:tc>
        <w:tc>
          <w:tcPr>
            <w:tcW w:w="5409" w:type="dxa"/>
          </w:tcPr>
          <w:p w:rsidR="001D68AD" w:rsidRDefault="001D68AD" w:rsidP="00FD331F">
            <w:pPr>
              <w:jc w:val="both"/>
              <w:rPr>
                <w:rFonts w:ascii="Arial" w:hAnsi="Arial" w:cs="Arial"/>
                <w:sz w:val="16"/>
                <w:szCs w:val="16"/>
              </w:rPr>
            </w:pPr>
          </w:p>
          <w:p w:rsidR="00E34E7C" w:rsidRDefault="00E34E7C" w:rsidP="00E34E7C">
            <w:pPr>
              <w:rPr>
                <w:rFonts w:ascii="Arial" w:hAnsi="Arial" w:cs="Arial"/>
                <w:sz w:val="16"/>
                <w:szCs w:val="16"/>
              </w:rPr>
            </w:pPr>
            <w:r>
              <w:rPr>
                <w:rFonts w:ascii="Arial" w:hAnsi="Arial" w:cs="Arial"/>
                <w:sz w:val="16"/>
                <w:szCs w:val="16"/>
              </w:rPr>
              <w:t>Monitorear la presión arterial, la función cardíaca y el estado respiratorio durante la infusión.</w:t>
            </w:r>
          </w:p>
          <w:p w:rsidR="00E34E7C" w:rsidRDefault="00E34E7C" w:rsidP="00E34E7C">
            <w:pPr>
              <w:rPr>
                <w:rFonts w:ascii="Arial" w:hAnsi="Arial" w:cs="Arial"/>
                <w:sz w:val="16"/>
                <w:szCs w:val="16"/>
              </w:rPr>
            </w:pPr>
          </w:p>
          <w:p w:rsidR="00E34E7C" w:rsidRDefault="00E34E7C" w:rsidP="00E34E7C">
            <w:pPr>
              <w:rPr>
                <w:rFonts w:ascii="Arial" w:hAnsi="Arial" w:cs="Arial"/>
                <w:sz w:val="16"/>
                <w:szCs w:val="16"/>
              </w:rPr>
            </w:pPr>
            <w:r>
              <w:rPr>
                <w:rFonts w:ascii="Arial" w:hAnsi="Arial" w:cs="Arial"/>
                <w:sz w:val="16"/>
                <w:szCs w:val="16"/>
              </w:rPr>
              <w:t>Ingreso y egreso estrictos</w:t>
            </w:r>
          </w:p>
          <w:p w:rsidR="00E34E7C" w:rsidRDefault="00E34E7C" w:rsidP="00E34E7C">
            <w:pPr>
              <w:rPr>
                <w:rFonts w:ascii="Arial" w:hAnsi="Arial" w:cs="Arial"/>
                <w:sz w:val="16"/>
                <w:szCs w:val="16"/>
              </w:rPr>
            </w:pPr>
          </w:p>
          <w:p w:rsidR="00E34E7C" w:rsidRPr="00035BF7" w:rsidRDefault="00E34E7C" w:rsidP="00E34E7C">
            <w:pPr>
              <w:jc w:val="both"/>
              <w:rPr>
                <w:rFonts w:ascii="Arial" w:hAnsi="Arial" w:cs="Arial"/>
                <w:sz w:val="16"/>
                <w:szCs w:val="16"/>
              </w:rPr>
            </w:pPr>
            <w:r>
              <w:rPr>
                <w:rFonts w:ascii="Arial" w:hAnsi="Arial" w:cs="Arial"/>
                <w:sz w:val="16"/>
                <w:szCs w:val="16"/>
              </w:rPr>
              <w:t>Monitorear para detectar signos y síntomas de síndrome de lisis tumoral, síndrome de respuesta inflamatoria sistémica y síndrome  de fuga capilar.</w:t>
            </w:r>
          </w:p>
        </w:tc>
      </w:tr>
    </w:tbl>
    <w:p w:rsidR="00BC44E7" w:rsidRDefault="00BC44E7" w:rsidP="00BC44E7">
      <w:pPr>
        <w:jc w:val="both"/>
        <w:rPr>
          <w:rFonts w:ascii="Arial" w:hAnsi="Arial" w:cs="Arial"/>
          <w:sz w:val="24"/>
          <w:szCs w:val="24"/>
        </w:rPr>
      </w:pPr>
    </w:p>
    <w:p w:rsidR="00E34E7C" w:rsidRDefault="00E34E7C" w:rsidP="00E34E7C">
      <w:pPr>
        <w:jc w:val="both"/>
        <w:rPr>
          <w:rFonts w:ascii="Arial" w:hAnsi="Arial" w:cs="Arial"/>
          <w:sz w:val="24"/>
          <w:szCs w:val="24"/>
        </w:rPr>
      </w:pPr>
    </w:p>
    <w:p w:rsidR="00E34E7C" w:rsidRDefault="00E34E7C" w:rsidP="00E34E7C">
      <w:pPr>
        <w:jc w:val="both"/>
        <w:rPr>
          <w:rFonts w:ascii="Arial" w:hAnsi="Arial" w:cs="Arial"/>
          <w:sz w:val="24"/>
          <w:szCs w:val="24"/>
        </w:rPr>
      </w:pPr>
    </w:p>
    <w:p w:rsidR="00E34E7C" w:rsidRDefault="00E34E7C" w:rsidP="00E34E7C">
      <w:pPr>
        <w:jc w:val="both"/>
        <w:rPr>
          <w:rFonts w:ascii="Arial" w:hAnsi="Arial" w:cs="Arial"/>
          <w:sz w:val="24"/>
          <w:szCs w:val="24"/>
        </w:rPr>
      </w:pPr>
      <w:r>
        <w:rPr>
          <w:rFonts w:ascii="Arial" w:hAnsi="Arial" w:cs="Arial"/>
          <w:sz w:val="24"/>
          <w:szCs w:val="24"/>
        </w:rPr>
        <w:lastRenderedPageBreak/>
        <w:t>Tabla 1 Agentes quimioterapéuticos</w:t>
      </w:r>
    </w:p>
    <w:tbl>
      <w:tblPr>
        <w:tblStyle w:val="Tablaconcuadrcula"/>
        <w:tblW w:w="0" w:type="auto"/>
        <w:tblLayout w:type="fixed"/>
        <w:tblLook w:val="04A0" w:firstRow="1" w:lastRow="0" w:firstColumn="1" w:lastColumn="0" w:noHBand="0" w:noVBand="1"/>
      </w:tblPr>
      <w:tblGrid>
        <w:gridCol w:w="1384"/>
        <w:gridCol w:w="1276"/>
        <w:gridCol w:w="850"/>
        <w:gridCol w:w="2383"/>
        <w:gridCol w:w="1706"/>
        <w:gridCol w:w="5550"/>
      </w:tblGrid>
      <w:tr w:rsidR="00BC44E7" w:rsidTr="009D13EC">
        <w:tc>
          <w:tcPr>
            <w:tcW w:w="1384" w:type="dxa"/>
          </w:tcPr>
          <w:p w:rsidR="00BC44E7" w:rsidRPr="0028732A" w:rsidRDefault="00BC44E7" w:rsidP="00FD331F">
            <w:pPr>
              <w:jc w:val="both"/>
              <w:rPr>
                <w:rFonts w:ascii="Arial" w:hAnsi="Arial" w:cs="Arial"/>
                <w:sz w:val="20"/>
                <w:szCs w:val="20"/>
              </w:rPr>
            </w:pPr>
            <w:r w:rsidRPr="0028732A">
              <w:rPr>
                <w:rFonts w:ascii="Arial" w:hAnsi="Arial" w:cs="Arial"/>
                <w:sz w:val="20"/>
                <w:szCs w:val="20"/>
              </w:rPr>
              <w:t>fármaco</w:t>
            </w:r>
          </w:p>
        </w:tc>
        <w:tc>
          <w:tcPr>
            <w:tcW w:w="1276" w:type="dxa"/>
          </w:tcPr>
          <w:p w:rsidR="00BC44E7" w:rsidRPr="0028732A" w:rsidRDefault="00BC44E7" w:rsidP="00FD331F">
            <w:pPr>
              <w:jc w:val="both"/>
              <w:rPr>
                <w:rFonts w:ascii="Arial" w:hAnsi="Arial" w:cs="Arial"/>
                <w:sz w:val="20"/>
                <w:szCs w:val="20"/>
              </w:rPr>
            </w:pPr>
            <w:r w:rsidRPr="0028732A">
              <w:rPr>
                <w:rFonts w:ascii="Arial" w:hAnsi="Arial" w:cs="Arial"/>
                <w:sz w:val="20"/>
                <w:szCs w:val="20"/>
              </w:rPr>
              <w:t xml:space="preserve">Clasificación </w:t>
            </w:r>
          </w:p>
        </w:tc>
        <w:tc>
          <w:tcPr>
            <w:tcW w:w="850" w:type="dxa"/>
          </w:tcPr>
          <w:p w:rsidR="00BC44E7" w:rsidRPr="0028732A" w:rsidRDefault="00BC44E7" w:rsidP="00FD331F">
            <w:pPr>
              <w:jc w:val="both"/>
              <w:rPr>
                <w:rFonts w:ascii="Arial" w:hAnsi="Arial" w:cs="Arial"/>
                <w:sz w:val="20"/>
                <w:szCs w:val="20"/>
              </w:rPr>
            </w:pPr>
            <w:r w:rsidRPr="0028732A">
              <w:rPr>
                <w:rFonts w:ascii="Arial" w:hAnsi="Arial" w:cs="Arial"/>
                <w:sz w:val="20"/>
                <w:szCs w:val="20"/>
              </w:rPr>
              <w:t xml:space="preserve">Vía de </w:t>
            </w:r>
            <w:r>
              <w:rPr>
                <w:rFonts w:ascii="Arial" w:hAnsi="Arial" w:cs="Arial"/>
                <w:sz w:val="20"/>
                <w:szCs w:val="20"/>
              </w:rPr>
              <w:t>adm.</w:t>
            </w:r>
            <w:r w:rsidRPr="0028732A">
              <w:rPr>
                <w:rFonts w:ascii="Arial" w:hAnsi="Arial" w:cs="Arial"/>
                <w:sz w:val="20"/>
                <w:szCs w:val="20"/>
              </w:rPr>
              <w:t xml:space="preserve"> </w:t>
            </w:r>
          </w:p>
        </w:tc>
        <w:tc>
          <w:tcPr>
            <w:tcW w:w="2383" w:type="dxa"/>
          </w:tcPr>
          <w:p w:rsidR="00BC44E7" w:rsidRPr="0028732A" w:rsidRDefault="00BC44E7" w:rsidP="00FD331F">
            <w:pPr>
              <w:jc w:val="both"/>
              <w:rPr>
                <w:rFonts w:ascii="Arial" w:hAnsi="Arial" w:cs="Arial"/>
                <w:sz w:val="20"/>
                <w:szCs w:val="20"/>
              </w:rPr>
            </w:pPr>
            <w:r w:rsidRPr="0028732A">
              <w:rPr>
                <w:rFonts w:ascii="Arial" w:hAnsi="Arial" w:cs="Arial"/>
                <w:sz w:val="20"/>
                <w:szCs w:val="20"/>
              </w:rPr>
              <w:t>Efectos secundarios</w:t>
            </w:r>
          </w:p>
        </w:tc>
        <w:tc>
          <w:tcPr>
            <w:tcW w:w="1706" w:type="dxa"/>
          </w:tcPr>
          <w:p w:rsidR="00BC44E7" w:rsidRPr="0028732A" w:rsidRDefault="00BC44E7" w:rsidP="00FD331F">
            <w:pPr>
              <w:jc w:val="both"/>
              <w:rPr>
                <w:rFonts w:ascii="Arial" w:hAnsi="Arial" w:cs="Arial"/>
                <w:sz w:val="20"/>
                <w:szCs w:val="20"/>
              </w:rPr>
            </w:pPr>
            <w:r w:rsidRPr="0028732A">
              <w:rPr>
                <w:rFonts w:ascii="Arial" w:hAnsi="Arial" w:cs="Arial"/>
                <w:sz w:val="20"/>
                <w:szCs w:val="20"/>
              </w:rPr>
              <w:t>Consideraciones especiales</w:t>
            </w:r>
          </w:p>
        </w:tc>
        <w:tc>
          <w:tcPr>
            <w:tcW w:w="5550" w:type="dxa"/>
          </w:tcPr>
          <w:p w:rsidR="00BC44E7" w:rsidRPr="0028732A" w:rsidRDefault="00BC44E7" w:rsidP="00FD331F">
            <w:pPr>
              <w:jc w:val="both"/>
              <w:rPr>
                <w:rFonts w:ascii="Arial" w:hAnsi="Arial" w:cs="Arial"/>
                <w:sz w:val="20"/>
                <w:szCs w:val="20"/>
              </w:rPr>
            </w:pPr>
            <w:r w:rsidRPr="0028732A">
              <w:rPr>
                <w:rFonts w:ascii="Arial" w:hAnsi="Arial" w:cs="Arial"/>
                <w:sz w:val="20"/>
                <w:szCs w:val="20"/>
              </w:rPr>
              <w:t>Acciones de enfermería</w:t>
            </w:r>
          </w:p>
        </w:tc>
      </w:tr>
      <w:tr w:rsidR="00BC44E7" w:rsidTr="009D13EC">
        <w:tc>
          <w:tcPr>
            <w:tcW w:w="1384" w:type="dxa"/>
          </w:tcPr>
          <w:p w:rsidR="00BC44E7" w:rsidRDefault="00BC44E7" w:rsidP="00FD331F">
            <w:pPr>
              <w:jc w:val="both"/>
              <w:rPr>
                <w:rFonts w:ascii="Arial" w:hAnsi="Arial" w:cs="Arial"/>
                <w:sz w:val="16"/>
                <w:szCs w:val="16"/>
              </w:rPr>
            </w:pPr>
          </w:p>
          <w:p w:rsidR="00E34E7C" w:rsidRDefault="001D68AD" w:rsidP="001D68AD">
            <w:pPr>
              <w:jc w:val="both"/>
              <w:rPr>
                <w:rFonts w:ascii="Arial" w:hAnsi="Arial" w:cs="Arial"/>
                <w:sz w:val="16"/>
                <w:szCs w:val="16"/>
              </w:rPr>
            </w:pPr>
            <w:r>
              <w:rPr>
                <w:rFonts w:ascii="Arial" w:hAnsi="Arial" w:cs="Arial"/>
                <w:sz w:val="16"/>
                <w:szCs w:val="16"/>
              </w:rPr>
              <w:t>Corticosteroides (prednisona,</w:t>
            </w:r>
          </w:p>
          <w:p w:rsidR="001D68AD" w:rsidRPr="00035BF7" w:rsidRDefault="001D68AD" w:rsidP="001D68AD">
            <w:pPr>
              <w:jc w:val="both"/>
              <w:rPr>
                <w:rFonts w:ascii="Arial" w:hAnsi="Arial" w:cs="Arial"/>
                <w:sz w:val="16"/>
                <w:szCs w:val="16"/>
              </w:rPr>
            </w:pPr>
            <w:r>
              <w:rPr>
                <w:rFonts w:ascii="Arial" w:hAnsi="Arial" w:cs="Arial"/>
                <w:sz w:val="16"/>
                <w:szCs w:val="16"/>
              </w:rPr>
              <w:t xml:space="preserve">dexametasona, </w:t>
            </w:r>
            <w:r w:rsidR="00E34E7C">
              <w:rPr>
                <w:rFonts w:ascii="Arial" w:hAnsi="Arial" w:cs="Arial"/>
                <w:sz w:val="16"/>
                <w:szCs w:val="16"/>
              </w:rPr>
              <w:t>hidrocortisona, metilprednisolona</w:t>
            </w:r>
            <w:r>
              <w:rPr>
                <w:rFonts w:ascii="Arial" w:hAnsi="Arial" w:cs="Arial"/>
                <w:sz w:val="16"/>
                <w:szCs w:val="16"/>
              </w:rPr>
              <w:t>)</w:t>
            </w:r>
          </w:p>
        </w:tc>
        <w:tc>
          <w:tcPr>
            <w:tcW w:w="1276" w:type="dxa"/>
          </w:tcPr>
          <w:p w:rsidR="00BC44E7" w:rsidRDefault="00BC44E7" w:rsidP="00FD331F">
            <w:pPr>
              <w:jc w:val="both"/>
              <w:rPr>
                <w:rFonts w:ascii="Arial" w:hAnsi="Arial" w:cs="Arial"/>
                <w:sz w:val="16"/>
                <w:szCs w:val="16"/>
              </w:rPr>
            </w:pPr>
          </w:p>
          <w:p w:rsidR="00E34E7C" w:rsidRPr="00035BF7" w:rsidRDefault="00E34E7C" w:rsidP="00FD331F">
            <w:pPr>
              <w:jc w:val="both"/>
              <w:rPr>
                <w:rFonts w:ascii="Arial" w:hAnsi="Arial" w:cs="Arial"/>
                <w:sz w:val="16"/>
                <w:szCs w:val="16"/>
              </w:rPr>
            </w:pPr>
            <w:r>
              <w:rPr>
                <w:rFonts w:ascii="Arial" w:hAnsi="Arial" w:cs="Arial"/>
                <w:sz w:val="16"/>
                <w:szCs w:val="16"/>
              </w:rPr>
              <w:t>Glucocorticoides; antieméticos, antiinflamatorios, supresores inmunitarios.</w:t>
            </w:r>
          </w:p>
        </w:tc>
        <w:tc>
          <w:tcPr>
            <w:tcW w:w="850" w:type="dxa"/>
          </w:tcPr>
          <w:p w:rsidR="00E34E7C" w:rsidRDefault="00E34E7C" w:rsidP="00FD331F">
            <w:pPr>
              <w:jc w:val="both"/>
              <w:rPr>
                <w:rFonts w:ascii="Arial" w:hAnsi="Arial" w:cs="Arial"/>
                <w:sz w:val="16"/>
                <w:szCs w:val="16"/>
              </w:rPr>
            </w:pPr>
          </w:p>
          <w:p w:rsidR="00BC44E7" w:rsidRPr="00035BF7" w:rsidRDefault="00E34E7C" w:rsidP="00FD331F">
            <w:pPr>
              <w:jc w:val="both"/>
              <w:rPr>
                <w:rFonts w:ascii="Arial" w:hAnsi="Arial" w:cs="Arial"/>
                <w:sz w:val="16"/>
                <w:szCs w:val="16"/>
              </w:rPr>
            </w:pPr>
            <w:r>
              <w:rPr>
                <w:rFonts w:ascii="Arial" w:hAnsi="Arial" w:cs="Arial"/>
                <w:sz w:val="16"/>
                <w:szCs w:val="16"/>
              </w:rPr>
              <w:t>V, Oral, IT</w:t>
            </w:r>
          </w:p>
        </w:tc>
        <w:tc>
          <w:tcPr>
            <w:tcW w:w="2383" w:type="dxa"/>
          </w:tcPr>
          <w:p w:rsidR="00BC44E7" w:rsidRDefault="00BC44E7" w:rsidP="00FD331F">
            <w:pPr>
              <w:jc w:val="both"/>
              <w:rPr>
                <w:rFonts w:ascii="Arial" w:hAnsi="Arial" w:cs="Arial"/>
                <w:sz w:val="16"/>
                <w:szCs w:val="16"/>
              </w:rPr>
            </w:pPr>
          </w:p>
          <w:p w:rsidR="00BC44E7" w:rsidRDefault="00E34E7C" w:rsidP="00FD331F">
            <w:pPr>
              <w:jc w:val="both"/>
              <w:rPr>
                <w:rFonts w:ascii="Arial" w:hAnsi="Arial" w:cs="Arial"/>
                <w:sz w:val="16"/>
                <w:szCs w:val="16"/>
              </w:rPr>
            </w:pPr>
            <w:r>
              <w:rPr>
                <w:rFonts w:ascii="Arial" w:hAnsi="Arial" w:cs="Arial"/>
                <w:sz w:val="16"/>
                <w:szCs w:val="16"/>
              </w:rPr>
              <w:t>Frecuentes: hiperfagia, inmunosupresión, cambios de personalidad</w:t>
            </w:r>
            <w:r w:rsidR="003A63B2">
              <w:rPr>
                <w:rFonts w:ascii="Arial" w:hAnsi="Arial" w:cs="Arial"/>
                <w:sz w:val="16"/>
                <w:szCs w:val="16"/>
              </w:rPr>
              <w:t>, síndrome de Cushing, supresión del eje hipofisario-suprarrenal, acné.</w:t>
            </w:r>
          </w:p>
          <w:p w:rsidR="00BC44E7" w:rsidRDefault="003A63B2" w:rsidP="003A63B2">
            <w:pPr>
              <w:jc w:val="both"/>
              <w:rPr>
                <w:rFonts w:ascii="Arial" w:hAnsi="Arial" w:cs="Arial"/>
                <w:sz w:val="16"/>
                <w:szCs w:val="16"/>
              </w:rPr>
            </w:pPr>
            <w:r>
              <w:rPr>
                <w:rFonts w:ascii="Arial" w:hAnsi="Arial" w:cs="Arial"/>
                <w:sz w:val="16"/>
                <w:szCs w:val="16"/>
              </w:rPr>
              <w:t>Ocasional: sanación deficiente de las heridas, molestias estomacales, hiperglucemia, gastritis, debilidad muscular, osteonecrosis.</w:t>
            </w:r>
          </w:p>
          <w:p w:rsidR="003A63B2" w:rsidRPr="00035BF7" w:rsidRDefault="003A63B2" w:rsidP="003A63B2">
            <w:pPr>
              <w:jc w:val="both"/>
              <w:rPr>
                <w:rFonts w:ascii="Arial" w:hAnsi="Arial" w:cs="Arial"/>
                <w:sz w:val="16"/>
                <w:szCs w:val="16"/>
              </w:rPr>
            </w:pPr>
            <w:r>
              <w:rPr>
                <w:rFonts w:ascii="Arial" w:hAnsi="Arial" w:cs="Arial"/>
                <w:sz w:val="16"/>
                <w:szCs w:val="16"/>
              </w:rPr>
              <w:t xml:space="preserve">Raros: psicosis, pancreatitis, desequilibrio de electrolitos, hemorragia gastrointestinal (GI), aumento </w:t>
            </w:r>
            <w:r w:rsidR="00955601">
              <w:rPr>
                <w:rFonts w:ascii="Arial" w:hAnsi="Arial" w:cs="Arial"/>
                <w:sz w:val="16"/>
                <w:szCs w:val="16"/>
              </w:rPr>
              <w:t>en la presión intraocular, hipertensión, necrosis aséptica de la cabeza femoral, retraso en el crecimiento, estrías, osteoporosis, osteopenia, úlcera péptica, cataratas.</w:t>
            </w:r>
          </w:p>
        </w:tc>
        <w:tc>
          <w:tcPr>
            <w:tcW w:w="1706" w:type="dxa"/>
          </w:tcPr>
          <w:p w:rsidR="00BC44E7" w:rsidRDefault="00BC44E7" w:rsidP="00FD331F">
            <w:pPr>
              <w:jc w:val="both"/>
              <w:rPr>
                <w:rFonts w:ascii="Arial" w:hAnsi="Arial" w:cs="Arial"/>
                <w:sz w:val="16"/>
                <w:szCs w:val="16"/>
              </w:rPr>
            </w:pPr>
          </w:p>
          <w:p w:rsidR="003A63B2" w:rsidRDefault="00FD331F" w:rsidP="00FD331F">
            <w:pPr>
              <w:jc w:val="both"/>
              <w:rPr>
                <w:rFonts w:ascii="Arial" w:hAnsi="Arial" w:cs="Arial"/>
                <w:sz w:val="16"/>
                <w:szCs w:val="16"/>
              </w:rPr>
            </w:pPr>
            <w:r>
              <w:rPr>
                <w:rFonts w:ascii="Arial" w:hAnsi="Arial" w:cs="Arial"/>
                <w:sz w:val="16"/>
                <w:szCs w:val="16"/>
              </w:rPr>
              <w:t>P</w:t>
            </w:r>
            <w:r w:rsidR="00955601">
              <w:rPr>
                <w:rFonts w:ascii="Arial" w:hAnsi="Arial" w:cs="Arial"/>
                <w:sz w:val="16"/>
                <w:szCs w:val="16"/>
              </w:rPr>
              <w:t>uede</w:t>
            </w:r>
            <w:r>
              <w:rPr>
                <w:rFonts w:ascii="Arial" w:hAnsi="Arial" w:cs="Arial"/>
                <w:sz w:val="16"/>
                <w:szCs w:val="16"/>
              </w:rPr>
              <w:t xml:space="preserve"> ocultar fiebre o infección.</w:t>
            </w:r>
          </w:p>
          <w:p w:rsidR="00FD331F" w:rsidRDefault="00FD331F" w:rsidP="00FD331F">
            <w:pPr>
              <w:jc w:val="both"/>
              <w:rPr>
                <w:rFonts w:ascii="Arial" w:hAnsi="Arial" w:cs="Arial"/>
                <w:sz w:val="16"/>
                <w:szCs w:val="16"/>
              </w:rPr>
            </w:pPr>
            <w:r>
              <w:rPr>
                <w:rFonts w:ascii="Arial" w:hAnsi="Arial" w:cs="Arial"/>
                <w:sz w:val="16"/>
                <w:szCs w:val="16"/>
              </w:rPr>
              <w:t>Potencia equivalente:</w:t>
            </w:r>
          </w:p>
          <w:p w:rsidR="00FD331F" w:rsidRDefault="00FD331F" w:rsidP="00FD331F">
            <w:pPr>
              <w:jc w:val="both"/>
              <w:rPr>
                <w:rFonts w:ascii="Arial" w:hAnsi="Arial" w:cs="Arial"/>
                <w:sz w:val="16"/>
                <w:szCs w:val="16"/>
              </w:rPr>
            </w:pPr>
            <w:r w:rsidRPr="00FD331F">
              <w:rPr>
                <w:rFonts w:ascii="Arial" w:hAnsi="Arial" w:cs="Arial"/>
                <w:sz w:val="16"/>
                <w:szCs w:val="16"/>
              </w:rPr>
              <w:t>Cortisona</w:t>
            </w:r>
            <w:r>
              <w:rPr>
                <w:rFonts w:ascii="Arial" w:hAnsi="Arial" w:cs="Arial"/>
                <w:sz w:val="16"/>
                <w:szCs w:val="16"/>
              </w:rPr>
              <w:t xml:space="preserve"> 5 mg</w:t>
            </w:r>
          </w:p>
          <w:p w:rsidR="00FD331F" w:rsidRDefault="00FD331F" w:rsidP="00FD331F">
            <w:pPr>
              <w:jc w:val="both"/>
              <w:rPr>
                <w:rFonts w:ascii="Arial" w:hAnsi="Arial" w:cs="Arial"/>
                <w:sz w:val="16"/>
                <w:szCs w:val="16"/>
              </w:rPr>
            </w:pPr>
            <w:r>
              <w:rPr>
                <w:rFonts w:ascii="Arial" w:hAnsi="Arial" w:cs="Arial"/>
                <w:sz w:val="16"/>
                <w:szCs w:val="16"/>
              </w:rPr>
              <w:t>Hidrocortisona 4 mg</w:t>
            </w:r>
          </w:p>
          <w:p w:rsidR="00FD331F" w:rsidRDefault="00FD331F" w:rsidP="00FD331F">
            <w:pPr>
              <w:jc w:val="both"/>
              <w:rPr>
                <w:rFonts w:ascii="Arial" w:hAnsi="Arial" w:cs="Arial"/>
                <w:sz w:val="16"/>
                <w:szCs w:val="16"/>
              </w:rPr>
            </w:pPr>
            <w:r>
              <w:rPr>
                <w:rFonts w:ascii="Arial" w:hAnsi="Arial" w:cs="Arial"/>
                <w:sz w:val="16"/>
                <w:szCs w:val="16"/>
              </w:rPr>
              <w:t>Prednisona 1 mg</w:t>
            </w:r>
          </w:p>
          <w:p w:rsidR="00FD331F" w:rsidRDefault="00FD331F" w:rsidP="00FD331F">
            <w:pPr>
              <w:jc w:val="both"/>
              <w:rPr>
                <w:rFonts w:ascii="Arial" w:hAnsi="Arial" w:cs="Arial"/>
                <w:sz w:val="16"/>
                <w:szCs w:val="16"/>
              </w:rPr>
            </w:pPr>
            <w:r>
              <w:rPr>
                <w:rFonts w:ascii="Arial" w:hAnsi="Arial" w:cs="Arial"/>
                <w:sz w:val="16"/>
                <w:szCs w:val="16"/>
              </w:rPr>
              <w:t>Metilprednisolona 0,8 mg</w:t>
            </w:r>
          </w:p>
          <w:p w:rsidR="00FD331F" w:rsidRPr="00FD331F" w:rsidRDefault="00FD331F" w:rsidP="00FD331F">
            <w:pPr>
              <w:jc w:val="both"/>
              <w:rPr>
                <w:rFonts w:ascii="Arial" w:hAnsi="Arial" w:cs="Arial"/>
                <w:sz w:val="16"/>
                <w:szCs w:val="16"/>
              </w:rPr>
            </w:pPr>
            <w:r>
              <w:rPr>
                <w:rFonts w:ascii="Arial" w:hAnsi="Arial" w:cs="Arial"/>
                <w:sz w:val="16"/>
                <w:szCs w:val="16"/>
              </w:rPr>
              <w:t xml:space="preserve">Dexametasona 0,15 mg. </w:t>
            </w:r>
            <w:r w:rsidRPr="00FD331F">
              <w:rPr>
                <w:rFonts w:ascii="Arial" w:hAnsi="Arial" w:cs="Arial"/>
                <w:sz w:val="16"/>
                <w:szCs w:val="16"/>
              </w:rPr>
              <w:t xml:space="preserve"> </w:t>
            </w:r>
          </w:p>
          <w:p w:rsidR="00FD331F" w:rsidRPr="00035BF7" w:rsidRDefault="00FD331F" w:rsidP="00FD331F">
            <w:pPr>
              <w:jc w:val="both"/>
              <w:rPr>
                <w:rFonts w:ascii="Arial" w:hAnsi="Arial" w:cs="Arial"/>
                <w:sz w:val="16"/>
                <w:szCs w:val="16"/>
              </w:rPr>
            </w:pPr>
          </w:p>
        </w:tc>
        <w:tc>
          <w:tcPr>
            <w:tcW w:w="5550" w:type="dxa"/>
          </w:tcPr>
          <w:p w:rsidR="00BC44E7" w:rsidRDefault="00BC44E7" w:rsidP="00FD331F">
            <w:pPr>
              <w:jc w:val="both"/>
              <w:rPr>
                <w:rFonts w:ascii="Arial" w:hAnsi="Arial" w:cs="Arial"/>
                <w:sz w:val="16"/>
                <w:szCs w:val="16"/>
              </w:rPr>
            </w:pPr>
          </w:p>
          <w:p w:rsidR="003A63B2" w:rsidRDefault="00FD331F" w:rsidP="00FD331F">
            <w:pPr>
              <w:jc w:val="both"/>
              <w:rPr>
                <w:rFonts w:ascii="Arial" w:hAnsi="Arial" w:cs="Arial"/>
                <w:sz w:val="16"/>
                <w:szCs w:val="16"/>
              </w:rPr>
            </w:pPr>
            <w:r>
              <w:rPr>
                <w:rFonts w:ascii="Arial" w:hAnsi="Arial" w:cs="Arial"/>
                <w:sz w:val="16"/>
                <w:szCs w:val="16"/>
              </w:rPr>
              <w:t>Reducir la ingesta de sodio.</w:t>
            </w:r>
          </w:p>
          <w:p w:rsidR="00FD331F" w:rsidRDefault="00FD331F" w:rsidP="00FD331F">
            <w:pPr>
              <w:jc w:val="both"/>
              <w:rPr>
                <w:rFonts w:ascii="Arial" w:hAnsi="Arial" w:cs="Arial"/>
                <w:sz w:val="16"/>
                <w:szCs w:val="16"/>
              </w:rPr>
            </w:pPr>
            <w:r>
              <w:rPr>
                <w:rFonts w:ascii="Arial" w:hAnsi="Arial" w:cs="Arial"/>
                <w:sz w:val="16"/>
                <w:szCs w:val="16"/>
              </w:rPr>
              <w:t>Observar para detectar hiperglucemia.</w:t>
            </w:r>
          </w:p>
          <w:p w:rsidR="00FD331F" w:rsidRDefault="00FD331F" w:rsidP="00FD331F">
            <w:pPr>
              <w:jc w:val="both"/>
              <w:rPr>
                <w:rFonts w:ascii="Arial" w:hAnsi="Arial" w:cs="Arial"/>
                <w:sz w:val="16"/>
                <w:szCs w:val="16"/>
              </w:rPr>
            </w:pPr>
            <w:r>
              <w:rPr>
                <w:rFonts w:ascii="Arial" w:hAnsi="Arial" w:cs="Arial"/>
                <w:sz w:val="16"/>
                <w:szCs w:val="16"/>
              </w:rPr>
              <w:t>Administrar con los alimentos o refrigerios para reducir o prevenir las molestias gastrointestinales; puede que deba administrarse con un antagonista del receptor H2 de la histamina como la cimetidina, ranitidina.</w:t>
            </w:r>
          </w:p>
          <w:p w:rsidR="00FD331F" w:rsidRDefault="00FD331F" w:rsidP="00FD331F">
            <w:pPr>
              <w:jc w:val="both"/>
              <w:rPr>
                <w:rFonts w:ascii="Arial" w:hAnsi="Arial" w:cs="Arial"/>
                <w:sz w:val="16"/>
                <w:szCs w:val="16"/>
              </w:rPr>
            </w:pPr>
            <w:r>
              <w:rPr>
                <w:rFonts w:ascii="Arial" w:hAnsi="Arial" w:cs="Arial"/>
                <w:sz w:val="16"/>
                <w:szCs w:val="16"/>
              </w:rPr>
              <w:t>Si es posible, no triturar las tabletas de prednisona por su sabor amargo; ocultar en una pequeña cantidad de comida.</w:t>
            </w:r>
          </w:p>
          <w:p w:rsidR="00FD331F" w:rsidRDefault="00CB01D8" w:rsidP="00FD331F">
            <w:pPr>
              <w:jc w:val="both"/>
              <w:rPr>
                <w:rFonts w:ascii="Arial" w:hAnsi="Arial" w:cs="Arial"/>
                <w:sz w:val="16"/>
                <w:szCs w:val="16"/>
              </w:rPr>
            </w:pPr>
            <w:r>
              <w:rPr>
                <w:rFonts w:ascii="Arial" w:hAnsi="Arial" w:cs="Arial"/>
                <w:sz w:val="16"/>
                <w:szCs w:val="16"/>
              </w:rPr>
              <w:t>La infusión IV</w:t>
            </w:r>
            <w:r w:rsidR="00FD331F">
              <w:rPr>
                <w:rFonts w:ascii="Arial" w:hAnsi="Arial" w:cs="Arial"/>
                <w:sz w:val="16"/>
                <w:szCs w:val="16"/>
              </w:rPr>
              <w:t xml:space="preserve"> debe realizarse durante un periodo de 20 a 30 minutos para evitar ardor perineal.</w:t>
            </w:r>
          </w:p>
          <w:p w:rsidR="00FD331F" w:rsidRPr="00035BF7" w:rsidRDefault="00FD331F" w:rsidP="00FD331F">
            <w:pPr>
              <w:jc w:val="both"/>
              <w:rPr>
                <w:rFonts w:ascii="Arial" w:hAnsi="Arial" w:cs="Arial"/>
                <w:sz w:val="16"/>
                <w:szCs w:val="16"/>
              </w:rPr>
            </w:pPr>
          </w:p>
        </w:tc>
      </w:tr>
      <w:tr w:rsidR="00BC44E7" w:rsidTr="009D13EC">
        <w:tc>
          <w:tcPr>
            <w:tcW w:w="1384" w:type="dxa"/>
          </w:tcPr>
          <w:p w:rsidR="009D13EC" w:rsidRDefault="009D13EC" w:rsidP="00FD331F">
            <w:pPr>
              <w:jc w:val="both"/>
              <w:rPr>
                <w:rFonts w:ascii="Arial" w:hAnsi="Arial" w:cs="Arial"/>
                <w:sz w:val="16"/>
                <w:szCs w:val="16"/>
              </w:rPr>
            </w:pPr>
          </w:p>
          <w:p w:rsidR="00BC44E7" w:rsidRPr="00035BF7" w:rsidRDefault="00C11C9E" w:rsidP="00FD331F">
            <w:pPr>
              <w:jc w:val="both"/>
              <w:rPr>
                <w:rFonts w:ascii="Arial" w:hAnsi="Arial" w:cs="Arial"/>
                <w:sz w:val="16"/>
                <w:szCs w:val="16"/>
              </w:rPr>
            </w:pPr>
            <w:r>
              <w:rPr>
                <w:rFonts w:ascii="Arial" w:hAnsi="Arial" w:cs="Arial"/>
                <w:sz w:val="16"/>
                <w:szCs w:val="16"/>
              </w:rPr>
              <w:t>C</w:t>
            </w:r>
            <w:r w:rsidR="00CB01D8">
              <w:rPr>
                <w:rFonts w:ascii="Arial" w:hAnsi="Arial" w:cs="Arial"/>
                <w:sz w:val="16"/>
                <w:szCs w:val="16"/>
              </w:rPr>
              <w:t>iclofosfamida</w:t>
            </w:r>
            <w:r>
              <w:rPr>
                <w:rFonts w:ascii="Arial" w:hAnsi="Arial" w:cs="Arial"/>
                <w:sz w:val="16"/>
                <w:szCs w:val="16"/>
              </w:rPr>
              <w:t xml:space="preserve"> (CYTOXAN,PROCYTOX)</w:t>
            </w:r>
          </w:p>
        </w:tc>
        <w:tc>
          <w:tcPr>
            <w:tcW w:w="1276" w:type="dxa"/>
          </w:tcPr>
          <w:p w:rsidR="009D13EC" w:rsidRDefault="009D13EC" w:rsidP="00FD331F">
            <w:pPr>
              <w:jc w:val="both"/>
              <w:rPr>
                <w:rFonts w:ascii="Arial" w:hAnsi="Arial" w:cs="Arial"/>
                <w:sz w:val="16"/>
                <w:szCs w:val="16"/>
              </w:rPr>
            </w:pPr>
          </w:p>
          <w:p w:rsidR="00BC44E7" w:rsidRPr="00035BF7" w:rsidRDefault="00CB01D8" w:rsidP="00FD331F">
            <w:pPr>
              <w:jc w:val="both"/>
              <w:rPr>
                <w:rFonts w:ascii="Arial" w:hAnsi="Arial" w:cs="Arial"/>
                <w:sz w:val="16"/>
                <w:szCs w:val="16"/>
              </w:rPr>
            </w:pPr>
            <w:r>
              <w:rPr>
                <w:rFonts w:ascii="Arial" w:hAnsi="Arial" w:cs="Arial"/>
                <w:sz w:val="16"/>
                <w:szCs w:val="16"/>
              </w:rPr>
              <w:t>Agente alcalinizante</w:t>
            </w:r>
          </w:p>
        </w:tc>
        <w:tc>
          <w:tcPr>
            <w:tcW w:w="850" w:type="dxa"/>
          </w:tcPr>
          <w:p w:rsidR="009D13EC" w:rsidRDefault="009D13EC" w:rsidP="00FD331F">
            <w:pPr>
              <w:jc w:val="both"/>
              <w:rPr>
                <w:rFonts w:ascii="Arial" w:hAnsi="Arial" w:cs="Arial"/>
                <w:sz w:val="16"/>
                <w:szCs w:val="16"/>
              </w:rPr>
            </w:pPr>
          </w:p>
          <w:p w:rsidR="00BC44E7" w:rsidRPr="00035BF7" w:rsidRDefault="00CB01D8" w:rsidP="00FD331F">
            <w:pPr>
              <w:jc w:val="both"/>
              <w:rPr>
                <w:rFonts w:ascii="Arial" w:hAnsi="Arial" w:cs="Arial"/>
                <w:sz w:val="16"/>
                <w:szCs w:val="16"/>
              </w:rPr>
            </w:pPr>
            <w:r>
              <w:rPr>
                <w:rFonts w:ascii="Arial" w:hAnsi="Arial" w:cs="Arial"/>
                <w:sz w:val="16"/>
                <w:szCs w:val="16"/>
              </w:rPr>
              <w:t>IV, Oral</w:t>
            </w:r>
          </w:p>
        </w:tc>
        <w:tc>
          <w:tcPr>
            <w:tcW w:w="2383" w:type="dxa"/>
          </w:tcPr>
          <w:p w:rsidR="009D13EC" w:rsidRDefault="009D13EC" w:rsidP="00C11C9E">
            <w:pPr>
              <w:jc w:val="both"/>
              <w:rPr>
                <w:rFonts w:ascii="Arial" w:hAnsi="Arial" w:cs="Arial"/>
                <w:sz w:val="16"/>
                <w:szCs w:val="16"/>
              </w:rPr>
            </w:pPr>
          </w:p>
          <w:p w:rsidR="00C11C9E" w:rsidRDefault="00C11C9E" w:rsidP="00C11C9E">
            <w:pPr>
              <w:jc w:val="both"/>
              <w:rPr>
                <w:rFonts w:ascii="Arial" w:hAnsi="Arial" w:cs="Arial"/>
                <w:sz w:val="16"/>
                <w:szCs w:val="16"/>
              </w:rPr>
            </w:pPr>
            <w:r>
              <w:rPr>
                <w:rFonts w:ascii="Arial" w:hAnsi="Arial" w:cs="Arial"/>
                <w:sz w:val="16"/>
                <w:szCs w:val="16"/>
              </w:rPr>
              <w:t>Frecuentes:anorexia,nauseas,vomito,mielosupresión,alopecia,difusión gonadal o esterilidad</w:t>
            </w:r>
          </w:p>
          <w:p w:rsidR="00C11C9E" w:rsidRDefault="00C11C9E" w:rsidP="00C11C9E">
            <w:pPr>
              <w:jc w:val="both"/>
              <w:rPr>
                <w:rFonts w:ascii="Arial" w:hAnsi="Arial" w:cs="Arial"/>
                <w:sz w:val="16"/>
                <w:szCs w:val="16"/>
              </w:rPr>
            </w:pPr>
          </w:p>
          <w:p w:rsidR="00C11C9E" w:rsidRDefault="009D13EC" w:rsidP="00C11C9E">
            <w:pPr>
              <w:jc w:val="both"/>
              <w:rPr>
                <w:rFonts w:ascii="Arial" w:hAnsi="Arial" w:cs="Arial"/>
                <w:sz w:val="16"/>
                <w:szCs w:val="16"/>
              </w:rPr>
            </w:pPr>
            <w:r>
              <w:rPr>
                <w:rFonts w:ascii="Arial" w:hAnsi="Arial" w:cs="Arial"/>
                <w:sz w:val="16"/>
                <w:szCs w:val="16"/>
              </w:rPr>
              <w:t xml:space="preserve">Ocasionales: </w:t>
            </w:r>
            <w:r w:rsidR="00C11C9E">
              <w:rPr>
                <w:rFonts w:ascii="Arial" w:hAnsi="Arial" w:cs="Arial"/>
                <w:sz w:val="16"/>
                <w:szCs w:val="16"/>
              </w:rPr>
              <w:t xml:space="preserve">gusto </w:t>
            </w:r>
            <w:r>
              <w:rPr>
                <w:rFonts w:ascii="Arial" w:hAnsi="Arial" w:cs="Arial"/>
                <w:sz w:val="16"/>
                <w:szCs w:val="16"/>
              </w:rPr>
              <w:t>metálico</w:t>
            </w:r>
            <w:r w:rsidR="00C11C9E">
              <w:rPr>
                <w:rFonts w:ascii="Arial" w:hAnsi="Arial" w:cs="Arial"/>
                <w:sz w:val="16"/>
                <w:szCs w:val="16"/>
              </w:rPr>
              <w:t xml:space="preserve">, </w:t>
            </w:r>
            <w:r>
              <w:rPr>
                <w:rFonts w:ascii="Arial" w:hAnsi="Arial" w:cs="Arial"/>
                <w:sz w:val="16"/>
                <w:szCs w:val="16"/>
              </w:rPr>
              <w:t>cistitis</w:t>
            </w:r>
            <w:r w:rsidR="00C11C9E">
              <w:rPr>
                <w:rFonts w:ascii="Arial" w:hAnsi="Arial" w:cs="Arial"/>
                <w:sz w:val="16"/>
                <w:szCs w:val="16"/>
              </w:rPr>
              <w:t xml:space="preserve"> hemorrágica, síndrome de la secreción inadecuada de </w:t>
            </w:r>
            <w:r>
              <w:rPr>
                <w:rFonts w:ascii="Arial" w:hAnsi="Arial" w:cs="Arial"/>
                <w:sz w:val="16"/>
                <w:szCs w:val="16"/>
              </w:rPr>
              <w:t>vasopresina</w:t>
            </w:r>
            <w:r w:rsidR="00C11C9E">
              <w:rPr>
                <w:rFonts w:ascii="Arial" w:hAnsi="Arial" w:cs="Arial"/>
                <w:sz w:val="16"/>
                <w:szCs w:val="16"/>
              </w:rPr>
              <w:t xml:space="preserve"> o ADH (SIADH)</w:t>
            </w:r>
          </w:p>
          <w:p w:rsidR="00C11C9E" w:rsidRDefault="00C11C9E" w:rsidP="00C11C9E">
            <w:pPr>
              <w:jc w:val="both"/>
              <w:rPr>
                <w:rFonts w:ascii="Arial" w:hAnsi="Arial" w:cs="Arial"/>
                <w:sz w:val="16"/>
                <w:szCs w:val="16"/>
              </w:rPr>
            </w:pPr>
          </w:p>
          <w:p w:rsidR="00C11C9E" w:rsidRDefault="00C11C9E" w:rsidP="00C11C9E">
            <w:pPr>
              <w:jc w:val="both"/>
              <w:rPr>
                <w:rFonts w:ascii="Arial" w:hAnsi="Arial" w:cs="Arial"/>
                <w:sz w:val="16"/>
                <w:szCs w:val="16"/>
              </w:rPr>
            </w:pPr>
            <w:r>
              <w:rPr>
                <w:rFonts w:ascii="Arial" w:hAnsi="Arial" w:cs="Arial"/>
                <w:sz w:val="16"/>
                <w:szCs w:val="16"/>
              </w:rPr>
              <w:t>Raros: visión b</w:t>
            </w:r>
            <w:r w:rsidR="009D13EC">
              <w:rPr>
                <w:rFonts w:ascii="Arial" w:hAnsi="Arial" w:cs="Arial"/>
                <w:sz w:val="16"/>
                <w:szCs w:val="16"/>
              </w:rPr>
              <w:t>orrosa pasajera, toxicidad cardí</w:t>
            </w:r>
            <w:r>
              <w:rPr>
                <w:rFonts w:ascii="Arial" w:hAnsi="Arial" w:cs="Arial"/>
                <w:sz w:val="16"/>
                <w:szCs w:val="16"/>
              </w:rPr>
              <w:t xml:space="preserve">aca con arritmias </w:t>
            </w:r>
            <w:proofErr w:type="gramStart"/>
            <w:r>
              <w:rPr>
                <w:rFonts w:ascii="Arial" w:hAnsi="Arial" w:cs="Arial"/>
                <w:sz w:val="16"/>
                <w:szCs w:val="16"/>
              </w:rPr>
              <w:t>( en</w:t>
            </w:r>
            <w:proofErr w:type="gramEnd"/>
            <w:r>
              <w:rPr>
                <w:rFonts w:ascii="Arial" w:hAnsi="Arial" w:cs="Arial"/>
                <w:sz w:val="16"/>
                <w:szCs w:val="16"/>
              </w:rPr>
              <w:t xml:space="preserve"> dosis mayores), necrosis del miocardio, fibrosis</w:t>
            </w:r>
            <w:r w:rsidR="009D13EC">
              <w:rPr>
                <w:rFonts w:ascii="Arial" w:hAnsi="Arial" w:cs="Arial"/>
                <w:sz w:val="16"/>
                <w:szCs w:val="16"/>
              </w:rPr>
              <w:t xml:space="preserve"> pulmonar, cáncer secundario, fibrosis</w:t>
            </w:r>
            <w:r>
              <w:rPr>
                <w:rFonts w:ascii="Arial" w:hAnsi="Arial" w:cs="Arial"/>
                <w:sz w:val="16"/>
                <w:szCs w:val="16"/>
              </w:rPr>
              <w:t xml:space="preserve"> de la vejiga</w:t>
            </w:r>
            <w:r w:rsidR="009D13EC">
              <w:rPr>
                <w:rFonts w:ascii="Arial" w:hAnsi="Arial" w:cs="Arial"/>
                <w:sz w:val="16"/>
                <w:szCs w:val="16"/>
              </w:rPr>
              <w:t>.</w:t>
            </w:r>
          </w:p>
          <w:p w:rsidR="00BC44E7" w:rsidRPr="00035BF7" w:rsidRDefault="00BC44E7" w:rsidP="00FD331F">
            <w:pPr>
              <w:jc w:val="both"/>
              <w:rPr>
                <w:rFonts w:ascii="Arial" w:hAnsi="Arial" w:cs="Arial"/>
                <w:sz w:val="16"/>
                <w:szCs w:val="16"/>
              </w:rPr>
            </w:pPr>
          </w:p>
        </w:tc>
        <w:tc>
          <w:tcPr>
            <w:tcW w:w="1706" w:type="dxa"/>
          </w:tcPr>
          <w:p w:rsidR="009D13EC" w:rsidRDefault="009D13EC" w:rsidP="00C11C9E">
            <w:pPr>
              <w:jc w:val="both"/>
              <w:rPr>
                <w:rFonts w:ascii="Arial" w:hAnsi="Arial" w:cs="Arial"/>
                <w:sz w:val="16"/>
                <w:szCs w:val="16"/>
              </w:rPr>
            </w:pPr>
          </w:p>
          <w:p w:rsidR="00C11C9E" w:rsidRDefault="00C11C9E" w:rsidP="00C11C9E">
            <w:pPr>
              <w:jc w:val="both"/>
              <w:rPr>
                <w:rFonts w:ascii="Arial" w:hAnsi="Arial" w:cs="Arial"/>
                <w:sz w:val="16"/>
                <w:szCs w:val="16"/>
              </w:rPr>
            </w:pPr>
            <w:r>
              <w:rPr>
                <w:rFonts w:ascii="Arial" w:hAnsi="Arial" w:cs="Arial"/>
                <w:sz w:val="16"/>
                <w:szCs w:val="16"/>
              </w:rPr>
              <w:t xml:space="preserve">Deben administrarse </w:t>
            </w:r>
          </w:p>
          <w:p w:rsidR="00C11C9E" w:rsidRDefault="00C11C9E" w:rsidP="00C11C9E">
            <w:pPr>
              <w:jc w:val="both"/>
              <w:rPr>
                <w:rFonts w:ascii="Arial" w:hAnsi="Arial" w:cs="Arial"/>
                <w:sz w:val="16"/>
                <w:szCs w:val="16"/>
              </w:rPr>
            </w:pPr>
            <w:r>
              <w:rPr>
                <w:rFonts w:ascii="Arial" w:hAnsi="Arial" w:cs="Arial"/>
                <w:sz w:val="16"/>
                <w:szCs w:val="16"/>
              </w:rPr>
              <w:t xml:space="preserve">Fluidos IV y mesna antes y después de la </w:t>
            </w:r>
            <w:r w:rsidR="009D13EC">
              <w:rPr>
                <w:rFonts w:ascii="Arial" w:hAnsi="Arial" w:cs="Arial"/>
                <w:sz w:val="16"/>
                <w:szCs w:val="16"/>
              </w:rPr>
              <w:t>admiración</w:t>
            </w:r>
            <w:r>
              <w:rPr>
                <w:rFonts w:ascii="Arial" w:hAnsi="Arial" w:cs="Arial"/>
                <w:sz w:val="16"/>
                <w:szCs w:val="16"/>
              </w:rPr>
              <w:t xml:space="preserve"> de dosis altas de ciclofosfamida </w:t>
            </w:r>
          </w:p>
          <w:p w:rsidR="00C11C9E" w:rsidRDefault="00C11C9E" w:rsidP="00C11C9E">
            <w:pPr>
              <w:jc w:val="both"/>
              <w:rPr>
                <w:rFonts w:ascii="Arial" w:hAnsi="Arial" w:cs="Arial"/>
                <w:sz w:val="16"/>
                <w:szCs w:val="16"/>
              </w:rPr>
            </w:pPr>
          </w:p>
          <w:p w:rsidR="00BC44E7" w:rsidRPr="00035BF7" w:rsidRDefault="00C11C9E" w:rsidP="00C11C9E">
            <w:pPr>
              <w:jc w:val="both"/>
              <w:rPr>
                <w:rFonts w:ascii="Arial" w:hAnsi="Arial" w:cs="Arial"/>
                <w:sz w:val="16"/>
                <w:szCs w:val="16"/>
              </w:rPr>
            </w:pPr>
            <w:r>
              <w:rPr>
                <w:rFonts w:ascii="Arial" w:hAnsi="Arial" w:cs="Arial"/>
                <w:sz w:val="16"/>
                <w:szCs w:val="16"/>
              </w:rPr>
              <w:t xml:space="preserve">El nadir de leucocitos se alcanza entre los 9 y 15 </w:t>
            </w:r>
            <w:r w:rsidR="009D13EC">
              <w:rPr>
                <w:rFonts w:ascii="Arial" w:hAnsi="Arial" w:cs="Arial"/>
                <w:sz w:val="16"/>
                <w:szCs w:val="16"/>
              </w:rPr>
              <w:t>días</w:t>
            </w:r>
          </w:p>
        </w:tc>
        <w:tc>
          <w:tcPr>
            <w:tcW w:w="5550" w:type="dxa"/>
          </w:tcPr>
          <w:p w:rsidR="009D13EC" w:rsidRDefault="009D13EC" w:rsidP="00C11C9E">
            <w:pPr>
              <w:jc w:val="both"/>
              <w:rPr>
                <w:rFonts w:ascii="Arial" w:hAnsi="Arial" w:cs="Arial"/>
                <w:sz w:val="16"/>
                <w:szCs w:val="16"/>
              </w:rPr>
            </w:pPr>
          </w:p>
          <w:p w:rsidR="00C11C9E" w:rsidRDefault="00C11C9E" w:rsidP="00C11C9E">
            <w:pPr>
              <w:jc w:val="both"/>
              <w:rPr>
                <w:rFonts w:ascii="Arial" w:hAnsi="Arial" w:cs="Arial"/>
                <w:sz w:val="16"/>
                <w:szCs w:val="16"/>
              </w:rPr>
            </w:pPr>
            <w:r>
              <w:rPr>
                <w:rFonts w:ascii="Arial" w:hAnsi="Arial" w:cs="Arial"/>
                <w:sz w:val="16"/>
                <w:szCs w:val="16"/>
              </w:rPr>
              <w:t xml:space="preserve">Mantener hidratación y gasto urinarios </w:t>
            </w:r>
            <w:r w:rsidR="004B2F29">
              <w:rPr>
                <w:rFonts w:ascii="Arial" w:hAnsi="Arial" w:cs="Arial"/>
                <w:sz w:val="16"/>
                <w:szCs w:val="16"/>
              </w:rPr>
              <w:t>adecuados.</w:t>
            </w:r>
          </w:p>
          <w:p w:rsidR="00C11C9E" w:rsidRDefault="00C11C9E" w:rsidP="00C11C9E">
            <w:pPr>
              <w:jc w:val="both"/>
              <w:rPr>
                <w:rFonts w:ascii="Arial" w:hAnsi="Arial" w:cs="Arial"/>
                <w:sz w:val="16"/>
                <w:szCs w:val="16"/>
              </w:rPr>
            </w:pPr>
            <w:r>
              <w:rPr>
                <w:rFonts w:ascii="Arial" w:hAnsi="Arial" w:cs="Arial"/>
                <w:sz w:val="16"/>
                <w:szCs w:val="16"/>
              </w:rPr>
              <w:t xml:space="preserve">Revisar con frecuencia la orina para detectar sangre y determinar el peso urinario </w:t>
            </w:r>
            <w:r w:rsidR="004B2F29">
              <w:rPr>
                <w:rFonts w:ascii="Arial" w:hAnsi="Arial" w:cs="Arial"/>
                <w:sz w:val="16"/>
                <w:szCs w:val="16"/>
              </w:rPr>
              <w:t>específico.</w:t>
            </w:r>
            <w:r>
              <w:rPr>
                <w:rFonts w:ascii="Arial" w:hAnsi="Arial" w:cs="Arial"/>
                <w:sz w:val="16"/>
                <w:szCs w:val="16"/>
              </w:rPr>
              <w:t xml:space="preserve"> </w:t>
            </w:r>
          </w:p>
          <w:p w:rsidR="00C11C9E" w:rsidRDefault="00C11C9E" w:rsidP="00C11C9E">
            <w:pPr>
              <w:jc w:val="both"/>
              <w:rPr>
                <w:rFonts w:ascii="Arial" w:hAnsi="Arial" w:cs="Arial"/>
                <w:sz w:val="16"/>
                <w:szCs w:val="16"/>
              </w:rPr>
            </w:pPr>
            <w:r>
              <w:rPr>
                <w:rFonts w:ascii="Arial" w:hAnsi="Arial" w:cs="Arial"/>
                <w:sz w:val="16"/>
                <w:szCs w:val="16"/>
              </w:rPr>
              <w:t xml:space="preserve">Siempre que sea posible, </w:t>
            </w:r>
            <w:r w:rsidR="004B2F29">
              <w:rPr>
                <w:rFonts w:ascii="Arial" w:hAnsi="Arial" w:cs="Arial"/>
                <w:sz w:val="16"/>
                <w:szCs w:val="16"/>
              </w:rPr>
              <w:t>administrar</w:t>
            </w:r>
            <w:r>
              <w:rPr>
                <w:rFonts w:ascii="Arial" w:hAnsi="Arial" w:cs="Arial"/>
                <w:sz w:val="16"/>
                <w:szCs w:val="16"/>
              </w:rPr>
              <w:t xml:space="preserve"> </w:t>
            </w:r>
            <w:r w:rsidR="004B2F29">
              <w:rPr>
                <w:rFonts w:ascii="Arial" w:hAnsi="Arial" w:cs="Arial"/>
                <w:sz w:val="16"/>
                <w:szCs w:val="16"/>
              </w:rPr>
              <w:t>la terapia temprano</w:t>
            </w:r>
            <w:r>
              <w:rPr>
                <w:rFonts w:ascii="Arial" w:hAnsi="Arial" w:cs="Arial"/>
                <w:sz w:val="16"/>
                <w:szCs w:val="16"/>
              </w:rPr>
              <w:t xml:space="preserve"> en la mañana para evitar que se acumulen metabolitos </w:t>
            </w:r>
            <w:r w:rsidR="004B2F29">
              <w:rPr>
                <w:rFonts w:ascii="Arial" w:hAnsi="Arial" w:cs="Arial"/>
                <w:sz w:val="16"/>
                <w:szCs w:val="16"/>
              </w:rPr>
              <w:t>tóxicos en la vejiga durante la noche.</w:t>
            </w:r>
          </w:p>
          <w:p w:rsidR="00C11C9E" w:rsidRDefault="00C11C9E" w:rsidP="00C11C9E">
            <w:pPr>
              <w:jc w:val="both"/>
              <w:rPr>
                <w:rFonts w:ascii="Arial" w:hAnsi="Arial" w:cs="Arial"/>
                <w:sz w:val="16"/>
                <w:szCs w:val="16"/>
              </w:rPr>
            </w:pPr>
            <w:r>
              <w:rPr>
                <w:rFonts w:ascii="Arial" w:hAnsi="Arial" w:cs="Arial"/>
                <w:sz w:val="16"/>
                <w:szCs w:val="16"/>
              </w:rPr>
              <w:t>Alentar al paciente para que orine antes de irse a dormir por la noche para vaciar la vejiga totalmente</w:t>
            </w:r>
            <w:r w:rsidR="004B2F29">
              <w:rPr>
                <w:rFonts w:ascii="Arial" w:hAnsi="Arial" w:cs="Arial"/>
                <w:sz w:val="16"/>
                <w:szCs w:val="16"/>
              </w:rPr>
              <w:t>.</w:t>
            </w:r>
            <w:r>
              <w:rPr>
                <w:rFonts w:ascii="Arial" w:hAnsi="Arial" w:cs="Arial"/>
                <w:sz w:val="16"/>
                <w:szCs w:val="16"/>
              </w:rPr>
              <w:t xml:space="preserve"> </w:t>
            </w:r>
          </w:p>
          <w:p w:rsidR="00C11C9E" w:rsidRDefault="00C11C9E" w:rsidP="00C11C9E">
            <w:pPr>
              <w:jc w:val="both"/>
              <w:rPr>
                <w:rFonts w:ascii="Arial" w:hAnsi="Arial" w:cs="Arial"/>
                <w:sz w:val="16"/>
                <w:szCs w:val="16"/>
              </w:rPr>
            </w:pPr>
            <w:r>
              <w:rPr>
                <w:rFonts w:ascii="Arial" w:hAnsi="Arial" w:cs="Arial"/>
                <w:sz w:val="16"/>
                <w:szCs w:val="16"/>
              </w:rPr>
              <w:t xml:space="preserve">Administrar en un lapso de 15 a 60 minutos para evitar los efectos secundarios desagradables como </w:t>
            </w:r>
            <w:r w:rsidR="004B2F29">
              <w:rPr>
                <w:rFonts w:ascii="Arial" w:hAnsi="Arial" w:cs="Arial"/>
                <w:sz w:val="16"/>
                <w:szCs w:val="16"/>
              </w:rPr>
              <w:t>mareos, lagrimeo, ná</w:t>
            </w:r>
            <w:r>
              <w:rPr>
                <w:rFonts w:ascii="Arial" w:hAnsi="Arial" w:cs="Arial"/>
                <w:sz w:val="16"/>
                <w:szCs w:val="16"/>
              </w:rPr>
              <w:t xml:space="preserve">useas, adormecimiento peribucal, </w:t>
            </w:r>
            <w:r w:rsidR="004B2F29">
              <w:rPr>
                <w:rFonts w:ascii="Arial" w:hAnsi="Arial" w:cs="Arial"/>
                <w:sz w:val="16"/>
                <w:szCs w:val="16"/>
              </w:rPr>
              <w:t>comezón</w:t>
            </w:r>
            <w:r>
              <w:rPr>
                <w:rFonts w:ascii="Arial" w:hAnsi="Arial" w:cs="Arial"/>
                <w:sz w:val="16"/>
                <w:szCs w:val="16"/>
              </w:rPr>
              <w:t xml:space="preserve"> en la nariz; se puede mezclar con mesna</w:t>
            </w:r>
            <w:r w:rsidR="004B2F29">
              <w:rPr>
                <w:rFonts w:ascii="Arial" w:hAnsi="Arial" w:cs="Arial"/>
                <w:sz w:val="16"/>
                <w:szCs w:val="16"/>
              </w:rPr>
              <w:t>.</w:t>
            </w:r>
          </w:p>
          <w:p w:rsidR="004B2F29" w:rsidRDefault="00C11C9E" w:rsidP="004B2F29">
            <w:pPr>
              <w:jc w:val="both"/>
              <w:rPr>
                <w:rFonts w:ascii="Arial" w:hAnsi="Arial" w:cs="Arial"/>
                <w:sz w:val="16"/>
                <w:szCs w:val="16"/>
              </w:rPr>
            </w:pPr>
            <w:r>
              <w:rPr>
                <w:rFonts w:ascii="Arial" w:hAnsi="Arial" w:cs="Arial"/>
                <w:sz w:val="16"/>
                <w:szCs w:val="16"/>
              </w:rPr>
              <w:t>Mesna debe administrarse</w:t>
            </w:r>
            <w:r w:rsidR="004B2F29">
              <w:rPr>
                <w:rFonts w:ascii="Arial" w:hAnsi="Arial" w:cs="Arial"/>
                <w:sz w:val="16"/>
                <w:szCs w:val="16"/>
              </w:rPr>
              <w:t xml:space="preserve"> exactamente como se indicó y a tiempo.</w:t>
            </w:r>
          </w:p>
          <w:p w:rsidR="004B2F29" w:rsidRDefault="004B2F29" w:rsidP="004B2F29">
            <w:pPr>
              <w:jc w:val="both"/>
              <w:rPr>
                <w:rFonts w:ascii="Arial" w:hAnsi="Arial" w:cs="Arial"/>
                <w:sz w:val="16"/>
                <w:szCs w:val="16"/>
              </w:rPr>
            </w:pPr>
            <w:r>
              <w:rPr>
                <w:rFonts w:ascii="Arial" w:hAnsi="Arial" w:cs="Arial"/>
                <w:sz w:val="16"/>
                <w:szCs w:val="16"/>
              </w:rPr>
              <w:t xml:space="preserve">Las náuseas y vómito tardan en aparecer de 4 a 8 horas; por lo tanto, se deben </w:t>
            </w:r>
            <w:r w:rsidR="009D13EC">
              <w:rPr>
                <w:rFonts w:ascii="Arial" w:hAnsi="Arial" w:cs="Arial"/>
                <w:sz w:val="16"/>
                <w:szCs w:val="16"/>
              </w:rPr>
              <w:t>administrar</w:t>
            </w:r>
            <w:r>
              <w:rPr>
                <w:rFonts w:ascii="Arial" w:hAnsi="Arial" w:cs="Arial"/>
                <w:sz w:val="16"/>
                <w:szCs w:val="16"/>
              </w:rPr>
              <w:t xml:space="preserve"> antieméticos antes </w:t>
            </w:r>
            <w:r w:rsidR="009D13EC">
              <w:rPr>
                <w:rFonts w:ascii="Arial" w:hAnsi="Arial" w:cs="Arial"/>
                <w:sz w:val="16"/>
                <w:szCs w:val="16"/>
              </w:rPr>
              <w:t>de la ciclofosfamida, a intervalos adecuados y en la mañana siguiente de la administración.</w:t>
            </w:r>
          </w:p>
          <w:p w:rsidR="004B2F29" w:rsidRDefault="004B2F29" w:rsidP="004B2F29">
            <w:pPr>
              <w:jc w:val="both"/>
              <w:rPr>
                <w:rFonts w:ascii="Arial" w:hAnsi="Arial" w:cs="Arial"/>
                <w:sz w:val="16"/>
                <w:szCs w:val="16"/>
              </w:rPr>
            </w:pPr>
          </w:p>
          <w:p w:rsidR="00BC44E7" w:rsidRPr="00035BF7" w:rsidRDefault="00BC44E7" w:rsidP="004B2F29">
            <w:pPr>
              <w:jc w:val="both"/>
              <w:rPr>
                <w:rFonts w:ascii="Arial" w:hAnsi="Arial" w:cs="Arial"/>
                <w:sz w:val="16"/>
                <w:szCs w:val="16"/>
              </w:rPr>
            </w:pPr>
          </w:p>
        </w:tc>
      </w:tr>
    </w:tbl>
    <w:p w:rsidR="00BC44E7" w:rsidRDefault="00BC44E7" w:rsidP="00BC44E7">
      <w:pPr>
        <w:jc w:val="both"/>
        <w:rPr>
          <w:rFonts w:ascii="Arial" w:hAnsi="Arial" w:cs="Arial"/>
          <w:sz w:val="24"/>
          <w:szCs w:val="24"/>
        </w:rPr>
      </w:pPr>
    </w:p>
    <w:p w:rsidR="009D13EC" w:rsidRDefault="009D13EC" w:rsidP="009D13EC">
      <w:pPr>
        <w:jc w:val="both"/>
        <w:rPr>
          <w:rFonts w:ascii="Arial" w:hAnsi="Arial" w:cs="Arial"/>
          <w:sz w:val="24"/>
          <w:szCs w:val="24"/>
        </w:rPr>
      </w:pPr>
      <w:r>
        <w:rPr>
          <w:rFonts w:ascii="Arial" w:hAnsi="Arial" w:cs="Arial"/>
          <w:sz w:val="24"/>
          <w:szCs w:val="24"/>
        </w:rPr>
        <w:t>Tabla 1 Agentes quimioterapéuticos</w:t>
      </w:r>
    </w:p>
    <w:p w:rsidR="00BC44E7" w:rsidRDefault="00BC44E7" w:rsidP="00BC44E7">
      <w:pPr>
        <w:jc w:val="both"/>
        <w:rPr>
          <w:rFonts w:ascii="Arial" w:hAnsi="Arial" w:cs="Arial"/>
          <w:sz w:val="24"/>
          <w:szCs w:val="24"/>
        </w:rPr>
      </w:pPr>
    </w:p>
    <w:tbl>
      <w:tblPr>
        <w:tblStyle w:val="Tablaconcuadrcula"/>
        <w:tblW w:w="0" w:type="auto"/>
        <w:tblLayout w:type="fixed"/>
        <w:tblLook w:val="04A0" w:firstRow="1" w:lastRow="0" w:firstColumn="1" w:lastColumn="0" w:noHBand="0" w:noVBand="1"/>
      </w:tblPr>
      <w:tblGrid>
        <w:gridCol w:w="1242"/>
        <w:gridCol w:w="1418"/>
        <w:gridCol w:w="850"/>
        <w:gridCol w:w="2835"/>
        <w:gridCol w:w="2552"/>
        <w:gridCol w:w="4252"/>
      </w:tblGrid>
      <w:tr w:rsidR="0045504C" w:rsidTr="009D13EC">
        <w:tc>
          <w:tcPr>
            <w:tcW w:w="1242" w:type="dxa"/>
          </w:tcPr>
          <w:p w:rsidR="0045504C" w:rsidRPr="0028732A" w:rsidRDefault="0045504C" w:rsidP="00C11C9E">
            <w:pPr>
              <w:jc w:val="both"/>
              <w:rPr>
                <w:rFonts w:ascii="Arial" w:hAnsi="Arial" w:cs="Arial"/>
                <w:sz w:val="20"/>
                <w:szCs w:val="20"/>
              </w:rPr>
            </w:pPr>
            <w:r w:rsidRPr="0028732A">
              <w:rPr>
                <w:rFonts w:ascii="Arial" w:hAnsi="Arial" w:cs="Arial"/>
                <w:sz w:val="20"/>
                <w:szCs w:val="20"/>
              </w:rPr>
              <w:t>fármaco</w:t>
            </w:r>
          </w:p>
        </w:tc>
        <w:tc>
          <w:tcPr>
            <w:tcW w:w="1418" w:type="dxa"/>
          </w:tcPr>
          <w:p w:rsidR="0045504C" w:rsidRPr="0028732A" w:rsidRDefault="0045504C" w:rsidP="00C11C9E">
            <w:pPr>
              <w:jc w:val="both"/>
              <w:rPr>
                <w:rFonts w:ascii="Arial" w:hAnsi="Arial" w:cs="Arial"/>
                <w:sz w:val="20"/>
                <w:szCs w:val="20"/>
              </w:rPr>
            </w:pPr>
            <w:r w:rsidRPr="0028732A">
              <w:rPr>
                <w:rFonts w:ascii="Arial" w:hAnsi="Arial" w:cs="Arial"/>
                <w:sz w:val="20"/>
                <w:szCs w:val="20"/>
              </w:rPr>
              <w:t xml:space="preserve">Clasificación </w:t>
            </w:r>
          </w:p>
        </w:tc>
        <w:tc>
          <w:tcPr>
            <w:tcW w:w="850" w:type="dxa"/>
          </w:tcPr>
          <w:p w:rsidR="0045504C" w:rsidRPr="0028732A" w:rsidRDefault="0045504C" w:rsidP="00C11C9E">
            <w:pPr>
              <w:jc w:val="both"/>
              <w:rPr>
                <w:rFonts w:ascii="Arial" w:hAnsi="Arial" w:cs="Arial"/>
                <w:sz w:val="20"/>
                <w:szCs w:val="20"/>
              </w:rPr>
            </w:pPr>
            <w:r w:rsidRPr="0028732A">
              <w:rPr>
                <w:rFonts w:ascii="Arial" w:hAnsi="Arial" w:cs="Arial"/>
                <w:sz w:val="20"/>
                <w:szCs w:val="20"/>
              </w:rPr>
              <w:t xml:space="preserve">Vía de </w:t>
            </w:r>
            <w:r>
              <w:rPr>
                <w:rFonts w:ascii="Arial" w:hAnsi="Arial" w:cs="Arial"/>
                <w:sz w:val="20"/>
                <w:szCs w:val="20"/>
              </w:rPr>
              <w:t>adm.</w:t>
            </w:r>
            <w:r w:rsidRPr="0028732A">
              <w:rPr>
                <w:rFonts w:ascii="Arial" w:hAnsi="Arial" w:cs="Arial"/>
                <w:sz w:val="20"/>
                <w:szCs w:val="20"/>
              </w:rPr>
              <w:t xml:space="preserve"> </w:t>
            </w:r>
          </w:p>
        </w:tc>
        <w:tc>
          <w:tcPr>
            <w:tcW w:w="2835" w:type="dxa"/>
          </w:tcPr>
          <w:p w:rsidR="0045504C" w:rsidRPr="0028732A" w:rsidRDefault="0045504C" w:rsidP="00C11C9E">
            <w:pPr>
              <w:jc w:val="both"/>
              <w:rPr>
                <w:rFonts w:ascii="Arial" w:hAnsi="Arial" w:cs="Arial"/>
                <w:sz w:val="20"/>
                <w:szCs w:val="20"/>
              </w:rPr>
            </w:pPr>
            <w:r w:rsidRPr="0028732A">
              <w:rPr>
                <w:rFonts w:ascii="Arial" w:hAnsi="Arial" w:cs="Arial"/>
                <w:sz w:val="20"/>
                <w:szCs w:val="20"/>
              </w:rPr>
              <w:t>Efectos secundarios</w:t>
            </w:r>
          </w:p>
        </w:tc>
        <w:tc>
          <w:tcPr>
            <w:tcW w:w="2552" w:type="dxa"/>
          </w:tcPr>
          <w:p w:rsidR="0045504C" w:rsidRPr="0028732A" w:rsidRDefault="0045504C" w:rsidP="00C11C9E">
            <w:pPr>
              <w:jc w:val="both"/>
              <w:rPr>
                <w:rFonts w:ascii="Arial" w:hAnsi="Arial" w:cs="Arial"/>
                <w:sz w:val="20"/>
                <w:szCs w:val="20"/>
              </w:rPr>
            </w:pPr>
            <w:r w:rsidRPr="0028732A">
              <w:rPr>
                <w:rFonts w:ascii="Arial" w:hAnsi="Arial" w:cs="Arial"/>
                <w:sz w:val="20"/>
                <w:szCs w:val="20"/>
              </w:rPr>
              <w:t>Consideraciones especiales</w:t>
            </w:r>
          </w:p>
        </w:tc>
        <w:tc>
          <w:tcPr>
            <w:tcW w:w="4252" w:type="dxa"/>
          </w:tcPr>
          <w:p w:rsidR="0045504C" w:rsidRPr="0028732A" w:rsidRDefault="0045504C" w:rsidP="00C11C9E">
            <w:pPr>
              <w:jc w:val="both"/>
              <w:rPr>
                <w:rFonts w:ascii="Arial" w:hAnsi="Arial" w:cs="Arial"/>
                <w:sz w:val="20"/>
                <w:szCs w:val="20"/>
              </w:rPr>
            </w:pPr>
            <w:r w:rsidRPr="0028732A">
              <w:rPr>
                <w:rFonts w:ascii="Arial" w:hAnsi="Arial" w:cs="Arial"/>
                <w:sz w:val="20"/>
                <w:szCs w:val="20"/>
              </w:rPr>
              <w:t>Acciones de enfermería</w:t>
            </w:r>
          </w:p>
        </w:tc>
      </w:tr>
      <w:tr w:rsidR="0045504C" w:rsidTr="009D13EC">
        <w:tc>
          <w:tcPr>
            <w:tcW w:w="1242" w:type="dxa"/>
          </w:tcPr>
          <w:p w:rsidR="00650E5A" w:rsidRDefault="00650E5A" w:rsidP="00C11C9E">
            <w:pPr>
              <w:jc w:val="both"/>
              <w:rPr>
                <w:rFonts w:ascii="Arial" w:hAnsi="Arial" w:cs="Arial"/>
                <w:sz w:val="16"/>
                <w:szCs w:val="16"/>
              </w:rPr>
            </w:pPr>
          </w:p>
          <w:p w:rsidR="0045504C" w:rsidRPr="00035BF7" w:rsidRDefault="009D13EC" w:rsidP="00C11C9E">
            <w:pPr>
              <w:jc w:val="both"/>
              <w:rPr>
                <w:rFonts w:ascii="Arial" w:hAnsi="Arial" w:cs="Arial"/>
                <w:sz w:val="16"/>
                <w:szCs w:val="16"/>
              </w:rPr>
            </w:pPr>
            <w:r>
              <w:rPr>
                <w:rFonts w:ascii="Arial" w:hAnsi="Arial" w:cs="Arial"/>
                <w:sz w:val="16"/>
                <w:szCs w:val="16"/>
              </w:rPr>
              <w:t>Citarabina (Cytosar, Cytosar-</w:t>
            </w:r>
            <w:r w:rsidR="007B1CC9">
              <w:rPr>
                <w:rFonts w:ascii="Arial" w:hAnsi="Arial" w:cs="Arial"/>
                <w:sz w:val="16"/>
                <w:szCs w:val="16"/>
              </w:rPr>
              <w:t>U)</w:t>
            </w:r>
          </w:p>
        </w:tc>
        <w:tc>
          <w:tcPr>
            <w:tcW w:w="1418" w:type="dxa"/>
          </w:tcPr>
          <w:p w:rsidR="00650E5A" w:rsidRDefault="00650E5A" w:rsidP="00C11C9E">
            <w:pPr>
              <w:jc w:val="both"/>
              <w:rPr>
                <w:rFonts w:ascii="Arial" w:hAnsi="Arial" w:cs="Arial"/>
                <w:sz w:val="16"/>
                <w:szCs w:val="16"/>
              </w:rPr>
            </w:pPr>
          </w:p>
          <w:p w:rsidR="0045504C" w:rsidRPr="00035BF7" w:rsidRDefault="007B1CC9" w:rsidP="00C11C9E">
            <w:pPr>
              <w:jc w:val="both"/>
              <w:rPr>
                <w:rFonts w:ascii="Arial" w:hAnsi="Arial" w:cs="Arial"/>
                <w:sz w:val="16"/>
                <w:szCs w:val="16"/>
              </w:rPr>
            </w:pPr>
            <w:r>
              <w:rPr>
                <w:rFonts w:ascii="Arial" w:hAnsi="Arial" w:cs="Arial"/>
                <w:sz w:val="16"/>
                <w:szCs w:val="16"/>
              </w:rPr>
              <w:t>Antimetabolito</w:t>
            </w:r>
          </w:p>
        </w:tc>
        <w:tc>
          <w:tcPr>
            <w:tcW w:w="850" w:type="dxa"/>
          </w:tcPr>
          <w:p w:rsidR="00650E5A" w:rsidRDefault="00650E5A" w:rsidP="00C11C9E">
            <w:pPr>
              <w:jc w:val="both"/>
              <w:rPr>
                <w:rFonts w:ascii="Arial" w:hAnsi="Arial" w:cs="Arial"/>
                <w:sz w:val="16"/>
                <w:szCs w:val="16"/>
              </w:rPr>
            </w:pPr>
          </w:p>
          <w:p w:rsidR="0045504C" w:rsidRDefault="007B1CC9" w:rsidP="00C11C9E">
            <w:pPr>
              <w:jc w:val="both"/>
              <w:rPr>
                <w:rFonts w:ascii="Arial" w:hAnsi="Arial" w:cs="Arial"/>
                <w:sz w:val="16"/>
                <w:szCs w:val="16"/>
              </w:rPr>
            </w:pPr>
            <w:r>
              <w:rPr>
                <w:rFonts w:ascii="Arial" w:hAnsi="Arial" w:cs="Arial"/>
                <w:sz w:val="16"/>
                <w:szCs w:val="16"/>
              </w:rPr>
              <w:t>IV</w:t>
            </w:r>
          </w:p>
          <w:p w:rsidR="007B1CC9" w:rsidRDefault="007B1CC9" w:rsidP="00C11C9E">
            <w:pPr>
              <w:jc w:val="both"/>
              <w:rPr>
                <w:rFonts w:ascii="Arial" w:hAnsi="Arial" w:cs="Arial"/>
                <w:sz w:val="16"/>
                <w:szCs w:val="16"/>
              </w:rPr>
            </w:pPr>
            <w:r>
              <w:rPr>
                <w:rFonts w:ascii="Arial" w:hAnsi="Arial" w:cs="Arial"/>
                <w:sz w:val="16"/>
                <w:szCs w:val="16"/>
              </w:rPr>
              <w:t>IM</w:t>
            </w:r>
          </w:p>
          <w:p w:rsidR="007B1CC9" w:rsidRDefault="007B1CC9" w:rsidP="00C11C9E">
            <w:pPr>
              <w:jc w:val="both"/>
              <w:rPr>
                <w:rFonts w:ascii="Arial" w:hAnsi="Arial" w:cs="Arial"/>
                <w:sz w:val="16"/>
                <w:szCs w:val="16"/>
              </w:rPr>
            </w:pPr>
            <w:r>
              <w:rPr>
                <w:rFonts w:ascii="Arial" w:hAnsi="Arial" w:cs="Arial"/>
                <w:sz w:val="16"/>
                <w:szCs w:val="16"/>
              </w:rPr>
              <w:t>SC</w:t>
            </w:r>
          </w:p>
          <w:p w:rsidR="007B1CC9" w:rsidRPr="00035BF7" w:rsidRDefault="007B1CC9" w:rsidP="00C11C9E">
            <w:pPr>
              <w:jc w:val="both"/>
              <w:rPr>
                <w:rFonts w:ascii="Arial" w:hAnsi="Arial" w:cs="Arial"/>
                <w:sz w:val="16"/>
                <w:szCs w:val="16"/>
              </w:rPr>
            </w:pPr>
            <w:r>
              <w:rPr>
                <w:rFonts w:ascii="Arial" w:hAnsi="Arial" w:cs="Arial"/>
                <w:sz w:val="16"/>
                <w:szCs w:val="16"/>
              </w:rPr>
              <w:t>IT</w:t>
            </w:r>
          </w:p>
        </w:tc>
        <w:tc>
          <w:tcPr>
            <w:tcW w:w="2835" w:type="dxa"/>
          </w:tcPr>
          <w:p w:rsidR="00650E5A" w:rsidRDefault="00650E5A" w:rsidP="00C11C9E">
            <w:pPr>
              <w:jc w:val="both"/>
              <w:rPr>
                <w:rFonts w:ascii="Arial" w:hAnsi="Arial" w:cs="Arial"/>
                <w:sz w:val="16"/>
                <w:szCs w:val="16"/>
              </w:rPr>
            </w:pPr>
          </w:p>
          <w:p w:rsidR="0045504C" w:rsidRDefault="00650E5A" w:rsidP="00C11C9E">
            <w:pPr>
              <w:jc w:val="both"/>
              <w:rPr>
                <w:rFonts w:ascii="Arial" w:hAnsi="Arial" w:cs="Arial"/>
                <w:sz w:val="16"/>
                <w:szCs w:val="16"/>
              </w:rPr>
            </w:pPr>
            <w:r>
              <w:rPr>
                <w:rFonts w:ascii="Arial" w:hAnsi="Arial" w:cs="Arial"/>
                <w:sz w:val="16"/>
                <w:szCs w:val="16"/>
              </w:rPr>
              <w:t>Frecuentes: nauseas, vó</w:t>
            </w:r>
            <w:r w:rsidR="00210365">
              <w:rPr>
                <w:rFonts w:ascii="Arial" w:hAnsi="Arial" w:cs="Arial"/>
                <w:sz w:val="16"/>
                <w:szCs w:val="16"/>
              </w:rPr>
              <w:t>mito, anorexia, conjuntivitis con dosis altas, mielosupresión, estomatitis, alopecia</w:t>
            </w:r>
            <w:r>
              <w:rPr>
                <w:rFonts w:ascii="Arial" w:hAnsi="Arial" w:cs="Arial"/>
                <w:sz w:val="16"/>
                <w:szCs w:val="16"/>
              </w:rPr>
              <w:t>.</w:t>
            </w:r>
          </w:p>
          <w:p w:rsidR="00210365" w:rsidRDefault="00210365" w:rsidP="00C11C9E">
            <w:pPr>
              <w:jc w:val="both"/>
              <w:rPr>
                <w:rFonts w:ascii="Arial" w:hAnsi="Arial" w:cs="Arial"/>
                <w:sz w:val="16"/>
                <w:szCs w:val="16"/>
              </w:rPr>
            </w:pPr>
          </w:p>
          <w:p w:rsidR="00210365" w:rsidRDefault="00210365" w:rsidP="00C11C9E">
            <w:pPr>
              <w:jc w:val="both"/>
              <w:rPr>
                <w:rFonts w:ascii="Arial" w:hAnsi="Arial" w:cs="Arial"/>
                <w:sz w:val="16"/>
                <w:szCs w:val="16"/>
              </w:rPr>
            </w:pPr>
            <w:r>
              <w:rPr>
                <w:rFonts w:ascii="Arial" w:hAnsi="Arial" w:cs="Arial"/>
                <w:sz w:val="16"/>
                <w:szCs w:val="16"/>
              </w:rPr>
              <w:t>Ocasionales: síntomas similares a los de la gripe con fiebre, diarrea</w:t>
            </w:r>
          </w:p>
          <w:p w:rsidR="00210365" w:rsidRDefault="00210365" w:rsidP="00C11C9E">
            <w:pPr>
              <w:jc w:val="both"/>
              <w:rPr>
                <w:rFonts w:ascii="Arial" w:hAnsi="Arial" w:cs="Arial"/>
                <w:sz w:val="16"/>
                <w:szCs w:val="16"/>
              </w:rPr>
            </w:pPr>
          </w:p>
          <w:p w:rsidR="00210365" w:rsidRDefault="00210365" w:rsidP="00C11C9E">
            <w:pPr>
              <w:jc w:val="both"/>
              <w:rPr>
                <w:rFonts w:ascii="Arial" w:hAnsi="Arial" w:cs="Arial"/>
                <w:sz w:val="16"/>
                <w:szCs w:val="16"/>
              </w:rPr>
            </w:pPr>
            <w:r>
              <w:rPr>
                <w:rFonts w:ascii="Arial" w:hAnsi="Arial" w:cs="Arial"/>
                <w:sz w:val="16"/>
                <w:szCs w:val="16"/>
              </w:rPr>
              <w:t>Raros: encefalopatía, disfunción cerebral, síndrome de fuga capilar pulmonar con dosis altas; erupción, hepatotoxicidad, enfermedad venooclusiva, pneumonitis, disfunción gonadal.</w:t>
            </w:r>
          </w:p>
          <w:p w:rsidR="00210365" w:rsidRDefault="00210365" w:rsidP="00C11C9E">
            <w:pPr>
              <w:jc w:val="both"/>
              <w:rPr>
                <w:rFonts w:ascii="Arial" w:hAnsi="Arial" w:cs="Arial"/>
                <w:sz w:val="16"/>
                <w:szCs w:val="16"/>
              </w:rPr>
            </w:pPr>
          </w:p>
          <w:p w:rsidR="0045504C" w:rsidRPr="00035BF7" w:rsidRDefault="00210365" w:rsidP="00C11C9E">
            <w:pPr>
              <w:jc w:val="both"/>
              <w:rPr>
                <w:rFonts w:ascii="Arial" w:hAnsi="Arial" w:cs="Arial"/>
                <w:sz w:val="16"/>
                <w:szCs w:val="16"/>
              </w:rPr>
            </w:pPr>
            <w:r>
              <w:rPr>
                <w:rFonts w:ascii="Arial" w:hAnsi="Arial" w:cs="Arial"/>
                <w:sz w:val="16"/>
                <w:szCs w:val="16"/>
              </w:rPr>
              <w:t xml:space="preserve">Con la administración IT: náuseas, vómito (pueden ser inmediatos); dolor de cabeza pleocitosis, fiebre, dificultades de aprendizaje, erupción, somnolencia, meningismo, convulsiones, </w:t>
            </w:r>
            <w:r w:rsidR="00795FB4">
              <w:rPr>
                <w:rFonts w:ascii="Arial" w:hAnsi="Arial" w:cs="Arial"/>
                <w:sz w:val="16"/>
                <w:szCs w:val="16"/>
              </w:rPr>
              <w:t xml:space="preserve">paresis, mielosupresión, ataxia. </w:t>
            </w:r>
          </w:p>
        </w:tc>
        <w:tc>
          <w:tcPr>
            <w:tcW w:w="2552" w:type="dxa"/>
          </w:tcPr>
          <w:p w:rsidR="00650E5A" w:rsidRDefault="00650E5A" w:rsidP="00C11C9E">
            <w:pPr>
              <w:jc w:val="both"/>
              <w:rPr>
                <w:rFonts w:ascii="Arial" w:hAnsi="Arial" w:cs="Arial"/>
                <w:sz w:val="16"/>
                <w:szCs w:val="16"/>
              </w:rPr>
            </w:pPr>
          </w:p>
          <w:p w:rsidR="0045504C" w:rsidRDefault="00795FB4" w:rsidP="00C11C9E">
            <w:pPr>
              <w:jc w:val="both"/>
              <w:rPr>
                <w:rFonts w:ascii="Arial" w:hAnsi="Arial" w:cs="Arial"/>
                <w:sz w:val="16"/>
                <w:szCs w:val="16"/>
              </w:rPr>
            </w:pPr>
            <w:r>
              <w:rPr>
                <w:rFonts w:ascii="Arial" w:hAnsi="Arial" w:cs="Arial"/>
                <w:sz w:val="16"/>
                <w:szCs w:val="16"/>
              </w:rPr>
              <w:t>Con la dosis altas, administración gotas oftálmicas de es</w:t>
            </w:r>
            <w:r w:rsidR="00650E5A">
              <w:rPr>
                <w:rFonts w:ascii="Arial" w:hAnsi="Arial" w:cs="Arial"/>
                <w:sz w:val="16"/>
                <w:szCs w:val="16"/>
              </w:rPr>
              <w:t>teroides para evitar conjuntivitis</w:t>
            </w:r>
            <w:r>
              <w:rPr>
                <w:rFonts w:ascii="Arial" w:hAnsi="Arial" w:cs="Arial"/>
                <w:sz w:val="16"/>
                <w:szCs w:val="16"/>
              </w:rPr>
              <w:t>.</w:t>
            </w:r>
          </w:p>
          <w:p w:rsidR="00795FB4" w:rsidRDefault="00795FB4" w:rsidP="00C11C9E">
            <w:pPr>
              <w:jc w:val="both"/>
              <w:rPr>
                <w:rFonts w:ascii="Arial" w:hAnsi="Arial" w:cs="Arial"/>
                <w:sz w:val="16"/>
                <w:szCs w:val="16"/>
              </w:rPr>
            </w:pPr>
          </w:p>
          <w:p w:rsidR="00795FB4" w:rsidRPr="00035BF7" w:rsidRDefault="00795FB4" w:rsidP="00C11C9E">
            <w:pPr>
              <w:jc w:val="both"/>
              <w:rPr>
                <w:rFonts w:ascii="Arial" w:hAnsi="Arial" w:cs="Arial"/>
                <w:sz w:val="16"/>
                <w:szCs w:val="16"/>
              </w:rPr>
            </w:pPr>
            <w:r>
              <w:rPr>
                <w:rFonts w:ascii="Arial" w:hAnsi="Arial" w:cs="Arial"/>
                <w:sz w:val="16"/>
                <w:szCs w:val="16"/>
              </w:rPr>
              <w:t xml:space="preserve">Nadirs de leucocitos y trombocitopenia en 5-7 días. </w:t>
            </w:r>
          </w:p>
        </w:tc>
        <w:tc>
          <w:tcPr>
            <w:tcW w:w="4252" w:type="dxa"/>
          </w:tcPr>
          <w:p w:rsidR="00650E5A" w:rsidRDefault="00650E5A" w:rsidP="00C11C9E">
            <w:pPr>
              <w:jc w:val="both"/>
              <w:rPr>
                <w:rFonts w:ascii="Arial" w:hAnsi="Arial" w:cs="Arial"/>
                <w:sz w:val="16"/>
                <w:szCs w:val="16"/>
              </w:rPr>
            </w:pPr>
          </w:p>
          <w:p w:rsidR="0045504C" w:rsidRDefault="00795FB4" w:rsidP="00C11C9E">
            <w:pPr>
              <w:jc w:val="both"/>
              <w:rPr>
                <w:rFonts w:ascii="Arial" w:hAnsi="Arial" w:cs="Arial"/>
                <w:sz w:val="16"/>
                <w:szCs w:val="16"/>
              </w:rPr>
            </w:pPr>
            <w:r>
              <w:rPr>
                <w:rFonts w:ascii="Arial" w:hAnsi="Arial" w:cs="Arial"/>
                <w:sz w:val="16"/>
                <w:szCs w:val="16"/>
              </w:rPr>
              <w:t xml:space="preserve">Premedicar con </w:t>
            </w:r>
            <w:r w:rsidR="00650E5A">
              <w:rPr>
                <w:rFonts w:ascii="Arial" w:hAnsi="Arial" w:cs="Arial"/>
                <w:sz w:val="16"/>
                <w:szCs w:val="16"/>
              </w:rPr>
              <w:t>antieméticos</w:t>
            </w:r>
            <w:r>
              <w:rPr>
                <w:rFonts w:ascii="Arial" w:hAnsi="Arial" w:cs="Arial"/>
                <w:sz w:val="16"/>
                <w:szCs w:val="16"/>
              </w:rPr>
              <w:t xml:space="preserve"> antes de usar; la dosis y la vía de administración afectan el grado de severidad de las náuseas y el vómito.</w:t>
            </w:r>
          </w:p>
          <w:p w:rsidR="00795FB4" w:rsidRDefault="00795FB4" w:rsidP="00C11C9E">
            <w:pPr>
              <w:jc w:val="both"/>
              <w:rPr>
                <w:rFonts w:ascii="Arial" w:hAnsi="Arial" w:cs="Arial"/>
                <w:sz w:val="16"/>
                <w:szCs w:val="16"/>
              </w:rPr>
            </w:pPr>
          </w:p>
          <w:p w:rsidR="00795FB4" w:rsidRPr="00035BF7" w:rsidRDefault="00795FB4" w:rsidP="00C11C9E">
            <w:pPr>
              <w:jc w:val="both"/>
              <w:rPr>
                <w:rFonts w:ascii="Arial" w:hAnsi="Arial" w:cs="Arial"/>
                <w:sz w:val="16"/>
                <w:szCs w:val="16"/>
              </w:rPr>
            </w:pPr>
            <w:r>
              <w:rPr>
                <w:rFonts w:ascii="Arial" w:hAnsi="Arial" w:cs="Arial"/>
                <w:sz w:val="16"/>
                <w:szCs w:val="16"/>
              </w:rPr>
              <w:t xml:space="preserve">La administración de dosis altas por vía IV causa náuseas y vómito severos en las siguientes 3 a 4 horas de administración, y duran 48 horas de la administración por  vía IT, las </w:t>
            </w:r>
            <w:r w:rsidR="00650E5A">
              <w:rPr>
                <w:rFonts w:ascii="Arial" w:hAnsi="Arial" w:cs="Arial"/>
                <w:sz w:val="16"/>
                <w:szCs w:val="16"/>
              </w:rPr>
              <w:t>náuseas</w:t>
            </w:r>
            <w:r>
              <w:rPr>
                <w:rFonts w:ascii="Arial" w:hAnsi="Arial" w:cs="Arial"/>
                <w:sz w:val="16"/>
                <w:szCs w:val="16"/>
              </w:rPr>
              <w:t xml:space="preserve"> y el vómito pueden ocurrir de forma inmediata (en el lapso de 10 a 15 minutos)   </w:t>
            </w:r>
          </w:p>
        </w:tc>
      </w:tr>
      <w:tr w:rsidR="0045504C" w:rsidTr="009D13EC">
        <w:trPr>
          <w:trHeight w:val="1634"/>
        </w:trPr>
        <w:tc>
          <w:tcPr>
            <w:tcW w:w="1242" w:type="dxa"/>
          </w:tcPr>
          <w:p w:rsidR="009D13EC" w:rsidRDefault="009D13EC" w:rsidP="00C11C9E">
            <w:pPr>
              <w:jc w:val="both"/>
              <w:rPr>
                <w:rFonts w:ascii="Arial" w:hAnsi="Arial" w:cs="Arial"/>
                <w:sz w:val="16"/>
                <w:szCs w:val="16"/>
              </w:rPr>
            </w:pPr>
          </w:p>
          <w:p w:rsidR="0045504C" w:rsidRPr="00035BF7" w:rsidRDefault="00795FB4" w:rsidP="00C11C9E">
            <w:pPr>
              <w:jc w:val="both"/>
              <w:rPr>
                <w:rFonts w:ascii="Arial" w:hAnsi="Arial" w:cs="Arial"/>
                <w:sz w:val="16"/>
                <w:szCs w:val="16"/>
              </w:rPr>
            </w:pPr>
            <w:r>
              <w:rPr>
                <w:rFonts w:ascii="Arial" w:hAnsi="Arial" w:cs="Arial"/>
                <w:sz w:val="16"/>
                <w:szCs w:val="16"/>
              </w:rPr>
              <w:t xml:space="preserve">Dactinomicina (Cosmegen) </w:t>
            </w:r>
          </w:p>
        </w:tc>
        <w:tc>
          <w:tcPr>
            <w:tcW w:w="1418" w:type="dxa"/>
          </w:tcPr>
          <w:p w:rsidR="00650E5A" w:rsidRDefault="00650E5A" w:rsidP="00C11C9E">
            <w:pPr>
              <w:jc w:val="both"/>
              <w:rPr>
                <w:rFonts w:ascii="Arial" w:hAnsi="Arial" w:cs="Arial"/>
                <w:sz w:val="16"/>
                <w:szCs w:val="16"/>
              </w:rPr>
            </w:pPr>
          </w:p>
          <w:p w:rsidR="0045504C" w:rsidRPr="00035BF7" w:rsidRDefault="00795FB4" w:rsidP="00C11C9E">
            <w:pPr>
              <w:jc w:val="both"/>
              <w:rPr>
                <w:rFonts w:ascii="Arial" w:hAnsi="Arial" w:cs="Arial"/>
                <w:sz w:val="16"/>
                <w:szCs w:val="16"/>
              </w:rPr>
            </w:pPr>
            <w:r>
              <w:rPr>
                <w:rFonts w:ascii="Arial" w:hAnsi="Arial" w:cs="Arial"/>
                <w:sz w:val="16"/>
                <w:szCs w:val="16"/>
              </w:rPr>
              <w:t xml:space="preserve">Antibióticos </w:t>
            </w:r>
          </w:p>
        </w:tc>
        <w:tc>
          <w:tcPr>
            <w:tcW w:w="850" w:type="dxa"/>
          </w:tcPr>
          <w:p w:rsidR="00650E5A" w:rsidRDefault="00650E5A" w:rsidP="00C11C9E">
            <w:pPr>
              <w:jc w:val="both"/>
              <w:rPr>
                <w:rFonts w:ascii="Arial" w:hAnsi="Arial" w:cs="Arial"/>
                <w:sz w:val="16"/>
                <w:szCs w:val="16"/>
              </w:rPr>
            </w:pPr>
          </w:p>
          <w:p w:rsidR="0045504C" w:rsidRPr="00035BF7" w:rsidRDefault="00795FB4" w:rsidP="00C11C9E">
            <w:pPr>
              <w:jc w:val="both"/>
              <w:rPr>
                <w:rFonts w:ascii="Arial" w:hAnsi="Arial" w:cs="Arial"/>
                <w:sz w:val="16"/>
                <w:szCs w:val="16"/>
              </w:rPr>
            </w:pPr>
            <w:r>
              <w:rPr>
                <w:rFonts w:ascii="Arial" w:hAnsi="Arial" w:cs="Arial"/>
                <w:sz w:val="16"/>
                <w:szCs w:val="16"/>
              </w:rPr>
              <w:t xml:space="preserve">IV </w:t>
            </w:r>
          </w:p>
        </w:tc>
        <w:tc>
          <w:tcPr>
            <w:tcW w:w="2835" w:type="dxa"/>
          </w:tcPr>
          <w:p w:rsidR="00650E5A" w:rsidRDefault="00650E5A" w:rsidP="00C11C9E">
            <w:pPr>
              <w:jc w:val="both"/>
              <w:rPr>
                <w:rFonts w:ascii="Arial" w:hAnsi="Arial" w:cs="Arial"/>
                <w:sz w:val="16"/>
                <w:szCs w:val="16"/>
              </w:rPr>
            </w:pPr>
          </w:p>
          <w:p w:rsidR="0045504C" w:rsidRDefault="00795FB4" w:rsidP="00C11C9E">
            <w:pPr>
              <w:jc w:val="both"/>
              <w:rPr>
                <w:rFonts w:ascii="Arial" w:hAnsi="Arial" w:cs="Arial"/>
                <w:sz w:val="16"/>
                <w:szCs w:val="16"/>
              </w:rPr>
            </w:pPr>
            <w:r>
              <w:rPr>
                <w:rFonts w:ascii="Arial" w:hAnsi="Arial" w:cs="Arial"/>
                <w:sz w:val="16"/>
                <w:szCs w:val="16"/>
              </w:rPr>
              <w:t>Frecuentes: náuseas, vómito, ulceración local en caso de extravasación, mielosupresión alopecia, fotosensibilidad cutánea e hiperpigmentación.</w:t>
            </w:r>
          </w:p>
          <w:p w:rsidR="00795FB4" w:rsidRDefault="00795FB4" w:rsidP="00C11C9E">
            <w:pPr>
              <w:jc w:val="both"/>
              <w:rPr>
                <w:rFonts w:ascii="Arial" w:hAnsi="Arial" w:cs="Arial"/>
                <w:sz w:val="16"/>
                <w:szCs w:val="16"/>
              </w:rPr>
            </w:pPr>
          </w:p>
          <w:p w:rsidR="00795FB4" w:rsidRDefault="00795FB4" w:rsidP="00C11C9E">
            <w:pPr>
              <w:jc w:val="both"/>
              <w:rPr>
                <w:rFonts w:ascii="Arial" w:hAnsi="Arial" w:cs="Arial"/>
                <w:sz w:val="16"/>
                <w:szCs w:val="16"/>
              </w:rPr>
            </w:pPr>
            <w:r>
              <w:rPr>
                <w:rFonts w:ascii="Arial" w:hAnsi="Arial" w:cs="Arial"/>
                <w:sz w:val="16"/>
                <w:szCs w:val="16"/>
              </w:rPr>
              <w:t>Ocasionales: diarrea, mucosi</w:t>
            </w:r>
            <w:r w:rsidR="00FB23A5">
              <w:rPr>
                <w:rFonts w:ascii="Arial" w:hAnsi="Arial" w:cs="Arial"/>
                <w:sz w:val="16"/>
                <w:szCs w:val="16"/>
              </w:rPr>
              <w:t>ti</w:t>
            </w:r>
            <w:r>
              <w:rPr>
                <w:rFonts w:ascii="Arial" w:hAnsi="Arial" w:cs="Arial"/>
                <w:sz w:val="16"/>
                <w:szCs w:val="16"/>
              </w:rPr>
              <w:t>s, trombocitopenia, dermatitis por radioterapia</w:t>
            </w:r>
            <w:r w:rsidR="00FB23A5">
              <w:rPr>
                <w:rFonts w:ascii="Arial" w:hAnsi="Arial" w:cs="Arial"/>
                <w:sz w:val="16"/>
                <w:szCs w:val="16"/>
              </w:rPr>
              <w:t>.</w:t>
            </w:r>
          </w:p>
          <w:p w:rsidR="00FB23A5" w:rsidRPr="00035BF7" w:rsidRDefault="00FB23A5" w:rsidP="00C11C9E">
            <w:pPr>
              <w:jc w:val="both"/>
              <w:rPr>
                <w:rFonts w:ascii="Arial" w:hAnsi="Arial" w:cs="Arial"/>
                <w:sz w:val="16"/>
                <w:szCs w:val="16"/>
              </w:rPr>
            </w:pPr>
            <w:r>
              <w:rPr>
                <w:rFonts w:ascii="Arial" w:hAnsi="Arial" w:cs="Arial"/>
                <w:sz w:val="16"/>
                <w:szCs w:val="16"/>
              </w:rPr>
              <w:t>Raros: hepatotoxi</w:t>
            </w:r>
            <w:r w:rsidR="00650E5A">
              <w:rPr>
                <w:rFonts w:ascii="Arial" w:hAnsi="Arial" w:cs="Arial"/>
                <w:sz w:val="16"/>
                <w:szCs w:val="16"/>
              </w:rPr>
              <w:t>ci</w:t>
            </w:r>
            <w:r>
              <w:rPr>
                <w:rFonts w:ascii="Arial" w:hAnsi="Arial" w:cs="Arial"/>
                <w:sz w:val="16"/>
                <w:szCs w:val="16"/>
              </w:rPr>
              <w:t xml:space="preserve">dad </w:t>
            </w:r>
          </w:p>
        </w:tc>
        <w:tc>
          <w:tcPr>
            <w:tcW w:w="2552" w:type="dxa"/>
          </w:tcPr>
          <w:p w:rsidR="00650E5A" w:rsidRDefault="00650E5A" w:rsidP="00C11C9E">
            <w:pPr>
              <w:jc w:val="both"/>
              <w:rPr>
                <w:rFonts w:ascii="Arial" w:hAnsi="Arial" w:cs="Arial"/>
                <w:sz w:val="16"/>
                <w:szCs w:val="16"/>
              </w:rPr>
            </w:pPr>
          </w:p>
          <w:p w:rsidR="0045504C" w:rsidRDefault="00FB23A5" w:rsidP="00C11C9E">
            <w:pPr>
              <w:jc w:val="both"/>
              <w:rPr>
                <w:rFonts w:ascii="Arial" w:hAnsi="Arial" w:cs="Arial"/>
                <w:sz w:val="16"/>
                <w:szCs w:val="16"/>
              </w:rPr>
            </w:pPr>
            <w:r>
              <w:rPr>
                <w:rFonts w:ascii="Arial" w:hAnsi="Arial" w:cs="Arial"/>
                <w:sz w:val="16"/>
                <w:szCs w:val="16"/>
              </w:rPr>
              <w:t>Evitar los conservadores.</w:t>
            </w:r>
          </w:p>
          <w:p w:rsidR="00FB23A5" w:rsidRDefault="00FB23A5" w:rsidP="00C11C9E">
            <w:pPr>
              <w:jc w:val="both"/>
              <w:rPr>
                <w:rFonts w:ascii="Arial" w:hAnsi="Arial" w:cs="Arial"/>
                <w:sz w:val="16"/>
                <w:szCs w:val="16"/>
              </w:rPr>
            </w:pPr>
          </w:p>
          <w:p w:rsidR="00FB23A5" w:rsidRPr="00035BF7" w:rsidRDefault="00FB23A5" w:rsidP="00C11C9E">
            <w:pPr>
              <w:jc w:val="both"/>
              <w:rPr>
                <w:rFonts w:ascii="Arial" w:hAnsi="Arial" w:cs="Arial"/>
                <w:sz w:val="16"/>
                <w:szCs w:val="16"/>
              </w:rPr>
            </w:pPr>
            <w:r>
              <w:rPr>
                <w:rFonts w:ascii="Arial" w:hAnsi="Arial" w:cs="Arial"/>
                <w:sz w:val="16"/>
                <w:szCs w:val="16"/>
              </w:rPr>
              <w:t>No filtrar.</w:t>
            </w:r>
          </w:p>
        </w:tc>
        <w:tc>
          <w:tcPr>
            <w:tcW w:w="4252" w:type="dxa"/>
          </w:tcPr>
          <w:p w:rsidR="00650E5A" w:rsidRDefault="00650E5A" w:rsidP="00C11C9E">
            <w:pPr>
              <w:jc w:val="both"/>
              <w:rPr>
                <w:rFonts w:ascii="Arial" w:hAnsi="Arial" w:cs="Arial"/>
                <w:sz w:val="16"/>
                <w:szCs w:val="16"/>
              </w:rPr>
            </w:pPr>
          </w:p>
          <w:p w:rsidR="0045504C" w:rsidRDefault="00FB23A5" w:rsidP="00C11C9E">
            <w:pPr>
              <w:jc w:val="both"/>
              <w:rPr>
                <w:rFonts w:ascii="Arial" w:hAnsi="Arial" w:cs="Arial"/>
                <w:sz w:val="16"/>
                <w:szCs w:val="16"/>
              </w:rPr>
            </w:pPr>
            <w:r>
              <w:rPr>
                <w:rFonts w:ascii="Arial" w:hAnsi="Arial" w:cs="Arial"/>
                <w:sz w:val="16"/>
                <w:szCs w:val="16"/>
              </w:rPr>
              <w:t>Vesicante: lesiones tisulares graves si ocurre extravasación; evitar extravasación.</w:t>
            </w:r>
          </w:p>
          <w:p w:rsidR="00FB23A5" w:rsidRDefault="00FB23A5" w:rsidP="00C11C9E">
            <w:pPr>
              <w:jc w:val="both"/>
              <w:rPr>
                <w:rFonts w:ascii="Arial" w:hAnsi="Arial" w:cs="Arial"/>
                <w:sz w:val="16"/>
                <w:szCs w:val="16"/>
              </w:rPr>
            </w:pPr>
          </w:p>
          <w:p w:rsidR="00FB23A5" w:rsidRPr="00035BF7" w:rsidRDefault="00FB23A5" w:rsidP="00C11C9E">
            <w:pPr>
              <w:jc w:val="both"/>
              <w:rPr>
                <w:rFonts w:ascii="Arial" w:hAnsi="Arial" w:cs="Arial"/>
                <w:sz w:val="16"/>
                <w:szCs w:val="16"/>
              </w:rPr>
            </w:pPr>
            <w:r>
              <w:rPr>
                <w:rFonts w:ascii="Arial" w:hAnsi="Arial" w:cs="Arial"/>
                <w:sz w:val="16"/>
                <w:szCs w:val="16"/>
              </w:rPr>
              <w:t>Proteger de la luz.</w:t>
            </w:r>
          </w:p>
        </w:tc>
      </w:tr>
    </w:tbl>
    <w:p w:rsidR="0045504C" w:rsidRDefault="0045504C" w:rsidP="0045504C">
      <w:pPr>
        <w:jc w:val="both"/>
        <w:rPr>
          <w:rFonts w:ascii="Arial" w:hAnsi="Arial" w:cs="Arial"/>
          <w:sz w:val="24"/>
          <w:szCs w:val="24"/>
        </w:rPr>
      </w:pPr>
    </w:p>
    <w:p w:rsidR="00650E5A" w:rsidRDefault="00650E5A" w:rsidP="00650E5A">
      <w:pPr>
        <w:jc w:val="both"/>
        <w:rPr>
          <w:rFonts w:ascii="Arial" w:hAnsi="Arial" w:cs="Arial"/>
          <w:sz w:val="24"/>
          <w:szCs w:val="24"/>
        </w:rPr>
      </w:pPr>
      <w:r>
        <w:rPr>
          <w:rFonts w:ascii="Arial" w:hAnsi="Arial" w:cs="Arial"/>
          <w:sz w:val="24"/>
          <w:szCs w:val="24"/>
        </w:rPr>
        <w:lastRenderedPageBreak/>
        <w:t>Tabla 1 Agentes quimioterapéuticos</w:t>
      </w:r>
    </w:p>
    <w:p w:rsidR="00394F57" w:rsidRDefault="00394F57" w:rsidP="00650E5A">
      <w:pPr>
        <w:jc w:val="both"/>
        <w:rPr>
          <w:rFonts w:ascii="Arial" w:hAnsi="Arial" w:cs="Arial"/>
          <w:sz w:val="24"/>
          <w:szCs w:val="24"/>
        </w:rPr>
      </w:pPr>
    </w:p>
    <w:tbl>
      <w:tblPr>
        <w:tblStyle w:val="Tablaconcuadrcula"/>
        <w:tblW w:w="0" w:type="auto"/>
        <w:tblLayout w:type="fixed"/>
        <w:tblLook w:val="04A0" w:firstRow="1" w:lastRow="0" w:firstColumn="1" w:lastColumn="0" w:noHBand="0" w:noVBand="1"/>
      </w:tblPr>
      <w:tblGrid>
        <w:gridCol w:w="1384"/>
        <w:gridCol w:w="1418"/>
        <w:gridCol w:w="850"/>
        <w:gridCol w:w="2241"/>
        <w:gridCol w:w="3429"/>
        <w:gridCol w:w="3827"/>
      </w:tblGrid>
      <w:tr w:rsidR="0045504C" w:rsidTr="00650E5A">
        <w:tc>
          <w:tcPr>
            <w:tcW w:w="1384" w:type="dxa"/>
          </w:tcPr>
          <w:p w:rsidR="0045504C" w:rsidRPr="0028732A" w:rsidRDefault="0045504C" w:rsidP="00C11C9E">
            <w:pPr>
              <w:jc w:val="both"/>
              <w:rPr>
                <w:rFonts w:ascii="Arial" w:hAnsi="Arial" w:cs="Arial"/>
                <w:sz w:val="20"/>
                <w:szCs w:val="20"/>
              </w:rPr>
            </w:pPr>
            <w:r w:rsidRPr="0028732A">
              <w:rPr>
                <w:rFonts w:ascii="Arial" w:hAnsi="Arial" w:cs="Arial"/>
                <w:sz w:val="20"/>
                <w:szCs w:val="20"/>
              </w:rPr>
              <w:t>fármaco</w:t>
            </w:r>
          </w:p>
        </w:tc>
        <w:tc>
          <w:tcPr>
            <w:tcW w:w="1418" w:type="dxa"/>
          </w:tcPr>
          <w:p w:rsidR="0045504C" w:rsidRPr="0028732A" w:rsidRDefault="0045504C" w:rsidP="00C11C9E">
            <w:pPr>
              <w:jc w:val="both"/>
              <w:rPr>
                <w:rFonts w:ascii="Arial" w:hAnsi="Arial" w:cs="Arial"/>
                <w:sz w:val="20"/>
                <w:szCs w:val="20"/>
              </w:rPr>
            </w:pPr>
            <w:r w:rsidRPr="0028732A">
              <w:rPr>
                <w:rFonts w:ascii="Arial" w:hAnsi="Arial" w:cs="Arial"/>
                <w:sz w:val="20"/>
                <w:szCs w:val="20"/>
              </w:rPr>
              <w:t xml:space="preserve">Clasificación </w:t>
            </w:r>
          </w:p>
        </w:tc>
        <w:tc>
          <w:tcPr>
            <w:tcW w:w="850" w:type="dxa"/>
          </w:tcPr>
          <w:p w:rsidR="0045504C" w:rsidRPr="0028732A" w:rsidRDefault="0045504C" w:rsidP="00C11C9E">
            <w:pPr>
              <w:jc w:val="both"/>
              <w:rPr>
                <w:rFonts w:ascii="Arial" w:hAnsi="Arial" w:cs="Arial"/>
                <w:sz w:val="20"/>
                <w:szCs w:val="20"/>
              </w:rPr>
            </w:pPr>
            <w:r w:rsidRPr="0028732A">
              <w:rPr>
                <w:rFonts w:ascii="Arial" w:hAnsi="Arial" w:cs="Arial"/>
                <w:sz w:val="20"/>
                <w:szCs w:val="20"/>
              </w:rPr>
              <w:t xml:space="preserve">Vía de </w:t>
            </w:r>
            <w:r>
              <w:rPr>
                <w:rFonts w:ascii="Arial" w:hAnsi="Arial" w:cs="Arial"/>
                <w:sz w:val="20"/>
                <w:szCs w:val="20"/>
              </w:rPr>
              <w:t>adm.</w:t>
            </w:r>
            <w:r w:rsidRPr="0028732A">
              <w:rPr>
                <w:rFonts w:ascii="Arial" w:hAnsi="Arial" w:cs="Arial"/>
                <w:sz w:val="20"/>
                <w:szCs w:val="20"/>
              </w:rPr>
              <w:t xml:space="preserve"> </w:t>
            </w:r>
          </w:p>
        </w:tc>
        <w:tc>
          <w:tcPr>
            <w:tcW w:w="2241" w:type="dxa"/>
          </w:tcPr>
          <w:p w:rsidR="0045504C" w:rsidRPr="0028732A" w:rsidRDefault="0045504C" w:rsidP="00C11C9E">
            <w:pPr>
              <w:jc w:val="both"/>
              <w:rPr>
                <w:rFonts w:ascii="Arial" w:hAnsi="Arial" w:cs="Arial"/>
                <w:sz w:val="20"/>
                <w:szCs w:val="20"/>
              </w:rPr>
            </w:pPr>
            <w:r w:rsidRPr="0028732A">
              <w:rPr>
                <w:rFonts w:ascii="Arial" w:hAnsi="Arial" w:cs="Arial"/>
                <w:sz w:val="20"/>
                <w:szCs w:val="20"/>
              </w:rPr>
              <w:t>Efectos secundarios</w:t>
            </w:r>
          </w:p>
        </w:tc>
        <w:tc>
          <w:tcPr>
            <w:tcW w:w="3429" w:type="dxa"/>
          </w:tcPr>
          <w:p w:rsidR="0045504C" w:rsidRPr="0028732A" w:rsidRDefault="0045504C" w:rsidP="00C11C9E">
            <w:pPr>
              <w:jc w:val="both"/>
              <w:rPr>
                <w:rFonts w:ascii="Arial" w:hAnsi="Arial" w:cs="Arial"/>
                <w:sz w:val="20"/>
                <w:szCs w:val="20"/>
              </w:rPr>
            </w:pPr>
            <w:r w:rsidRPr="0028732A">
              <w:rPr>
                <w:rFonts w:ascii="Arial" w:hAnsi="Arial" w:cs="Arial"/>
                <w:sz w:val="20"/>
                <w:szCs w:val="20"/>
              </w:rPr>
              <w:t>Consideraciones especiales</w:t>
            </w:r>
          </w:p>
        </w:tc>
        <w:tc>
          <w:tcPr>
            <w:tcW w:w="3827" w:type="dxa"/>
          </w:tcPr>
          <w:p w:rsidR="0045504C" w:rsidRPr="0028732A" w:rsidRDefault="0045504C" w:rsidP="00C11C9E">
            <w:pPr>
              <w:jc w:val="both"/>
              <w:rPr>
                <w:rFonts w:ascii="Arial" w:hAnsi="Arial" w:cs="Arial"/>
                <w:sz w:val="20"/>
                <w:szCs w:val="20"/>
              </w:rPr>
            </w:pPr>
            <w:r w:rsidRPr="0028732A">
              <w:rPr>
                <w:rFonts w:ascii="Arial" w:hAnsi="Arial" w:cs="Arial"/>
                <w:sz w:val="20"/>
                <w:szCs w:val="20"/>
              </w:rPr>
              <w:t>Acciones de enfermería</w:t>
            </w:r>
          </w:p>
        </w:tc>
      </w:tr>
      <w:tr w:rsidR="0045504C" w:rsidTr="00650E5A">
        <w:trPr>
          <w:trHeight w:val="913"/>
        </w:trPr>
        <w:tc>
          <w:tcPr>
            <w:tcW w:w="1384" w:type="dxa"/>
          </w:tcPr>
          <w:p w:rsidR="00650E5A" w:rsidRDefault="00650E5A" w:rsidP="00C11C9E">
            <w:pPr>
              <w:jc w:val="both"/>
              <w:rPr>
                <w:rFonts w:ascii="Arial" w:hAnsi="Arial" w:cs="Arial"/>
                <w:sz w:val="16"/>
                <w:szCs w:val="16"/>
              </w:rPr>
            </w:pPr>
          </w:p>
          <w:p w:rsidR="0045504C" w:rsidRDefault="00FB23A5" w:rsidP="00C11C9E">
            <w:pPr>
              <w:jc w:val="both"/>
              <w:rPr>
                <w:rFonts w:ascii="Arial" w:hAnsi="Arial" w:cs="Arial"/>
                <w:sz w:val="16"/>
                <w:szCs w:val="16"/>
              </w:rPr>
            </w:pPr>
            <w:r>
              <w:rPr>
                <w:rFonts w:ascii="Arial" w:hAnsi="Arial" w:cs="Arial"/>
                <w:sz w:val="16"/>
                <w:szCs w:val="16"/>
              </w:rPr>
              <w:t>Daunorrubicina (Cerubidine).</w:t>
            </w:r>
          </w:p>
          <w:p w:rsidR="00FB23A5" w:rsidRDefault="00FB23A5" w:rsidP="00C11C9E">
            <w:pPr>
              <w:jc w:val="both"/>
              <w:rPr>
                <w:rFonts w:ascii="Arial" w:hAnsi="Arial" w:cs="Arial"/>
                <w:sz w:val="16"/>
                <w:szCs w:val="16"/>
              </w:rPr>
            </w:pPr>
          </w:p>
          <w:p w:rsidR="00FB23A5" w:rsidRPr="00035BF7" w:rsidRDefault="00FB23A5" w:rsidP="00C11C9E">
            <w:pPr>
              <w:jc w:val="both"/>
              <w:rPr>
                <w:rFonts w:ascii="Arial" w:hAnsi="Arial" w:cs="Arial"/>
                <w:sz w:val="16"/>
                <w:szCs w:val="16"/>
              </w:rPr>
            </w:pPr>
            <w:r>
              <w:rPr>
                <w:rFonts w:ascii="Arial" w:hAnsi="Arial" w:cs="Arial"/>
                <w:sz w:val="16"/>
                <w:szCs w:val="16"/>
              </w:rPr>
              <w:t>Doxorrubicina (Adriamicina, PFS, Adriamicina, RDF, Rubex)</w:t>
            </w:r>
          </w:p>
        </w:tc>
        <w:tc>
          <w:tcPr>
            <w:tcW w:w="1418" w:type="dxa"/>
          </w:tcPr>
          <w:p w:rsidR="00650E5A" w:rsidRDefault="00650E5A" w:rsidP="00C11C9E">
            <w:pPr>
              <w:jc w:val="both"/>
              <w:rPr>
                <w:rFonts w:ascii="Arial" w:hAnsi="Arial" w:cs="Arial"/>
                <w:sz w:val="16"/>
                <w:szCs w:val="16"/>
              </w:rPr>
            </w:pPr>
          </w:p>
          <w:p w:rsidR="0045504C" w:rsidRPr="00035BF7" w:rsidRDefault="00FB23A5" w:rsidP="00C11C9E">
            <w:pPr>
              <w:jc w:val="both"/>
              <w:rPr>
                <w:rFonts w:ascii="Arial" w:hAnsi="Arial" w:cs="Arial"/>
                <w:sz w:val="16"/>
                <w:szCs w:val="16"/>
              </w:rPr>
            </w:pPr>
            <w:r>
              <w:rPr>
                <w:rFonts w:ascii="Arial" w:hAnsi="Arial" w:cs="Arial"/>
                <w:sz w:val="16"/>
                <w:szCs w:val="16"/>
              </w:rPr>
              <w:t xml:space="preserve">Antraciclina </w:t>
            </w:r>
          </w:p>
        </w:tc>
        <w:tc>
          <w:tcPr>
            <w:tcW w:w="850" w:type="dxa"/>
          </w:tcPr>
          <w:p w:rsidR="00650E5A" w:rsidRDefault="00650E5A" w:rsidP="00C11C9E">
            <w:pPr>
              <w:jc w:val="both"/>
              <w:rPr>
                <w:rFonts w:ascii="Arial" w:hAnsi="Arial" w:cs="Arial"/>
                <w:sz w:val="16"/>
                <w:szCs w:val="16"/>
              </w:rPr>
            </w:pPr>
          </w:p>
          <w:p w:rsidR="0045504C" w:rsidRPr="00035BF7" w:rsidRDefault="00FB23A5" w:rsidP="00C11C9E">
            <w:pPr>
              <w:jc w:val="both"/>
              <w:rPr>
                <w:rFonts w:ascii="Arial" w:hAnsi="Arial" w:cs="Arial"/>
                <w:sz w:val="16"/>
                <w:szCs w:val="16"/>
              </w:rPr>
            </w:pPr>
            <w:r>
              <w:rPr>
                <w:rFonts w:ascii="Arial" w:hAnsi="Arial" w:cs="Arial"/>
                <w:sz w:val="16"/>
                <w:szCs w:val="16"/>
              </w:rPr>
              <w:t>IV</w:t>
            </w:r>
          </w:p>
        </w:tc>
        <w:tc>
          <w:tcPr>
            <w:tcW w:w="2241" w:type="dxa"/>
          </w:tcPr>
          <w:p w:rsidR="00650E5A" w:rsidRDefault="00650E5A" w:rsidP="00C11C9E">
            <w:pPr>
              <w:jc w:val="both"/>
              <w:rPr>
                <w:rFonts w:ascii="Arial" w:hAnsi="Arial" w:cs="Arial"/>
                <w:sz w:val="16"/>
                <w:szCs w:val="16"/>
              </w:rPr>
            </w:pPr>
          </w:p>
          <w:p w:rsidR="00FB23A5" w:rsidRDefault="00FB23A5" w:rsidP="00C11C9E">
            <w:pPr>
              <w:jc w:val="both"/>
              <w:rPr>
                <w:rFonts w:ascii="Arial" w:hAnsi="Arial" w:cs="Arial"/>
                <w:sz w:val="16"/>
                <w:szCs w:val="16"/>
              </w:rPr>
            </w:pPr>
            <w:r>
              <w:rPr>
                <w:rFonts w:ascii="Arial" w:hAnsi="Arial" w:cs="Arial"/>
                <w:sz w:val="16"/>
                <w:szCs w:val="16"/>
              </w:rPr>
              <w:t xml:space="preserve">Frecuentes: arritmias cardíacas sublínicas, náuseas, vómito, toxicidad </w:t>
            </w:r>
            <w:r w:rsidR="005F5495">
              <w:rPr>
                <w:rFonts w:ascii="Arial" w:hAnsi="Arial" w:cs="Arial"/>
                <w:sz w:val="16"/>
                <w:szCs w:val="16"/>
              </w:rPr>
              <w:t xml:space="preserve">cardíaca </w:t>
            </w:r>
            <w:proofErr w:type="gramStart"/>
            <w:r w:rsidR="005F5495">
              <w:rPr>
                <w:rFonts w:ascii="Arial" w:hAnsi="Arial" w:cs="Arial"/>
                <w:sz w:val="16"/>
                <w:szCs w:val="16"/>
              </w:rPr>
              <w:t>( mayor</w:t>
            </w:r>
            <w:proofErr w:type="gramEnd"/>
            <w:r w:rsidR="005F5495">
              <w:rPr>
                <w:rFonts w:ascii="Arial" w:hAnsi="Arial" w:cs="Arial"/>
                <w:sz w:val="16"/>
                <w:szCs w:val="16"/>
              </w:rPr>
              <w:t xml:space="preserve"> riesgo con ra</w:t>
            </w:r>
            <w:r>
              <w:rPr>
                <w:rFonts w:ascii="Arial" w:hAnsi="Arial" w:cs="Arial"/>
                <w:sz w:val="16"/>
                <w:szCs w:val="16"/>
              </w:rPr>
              <w:t>d</w:t>
            </w:r>
            <w:r w:rsidR="005F5495">
              <w:rPr>
                <w:rFonts w:ascii="Arial" w:hAnsi="Arial" w:cs="Arial"/>
                <w:sz w:val="16"/>
                <w:szCs w:val="16"/>
              </w:rPr>
              <w:t>i</w:t>
            </w:r>
            <w:r>
              <w:rPr>
                <w:rFonts w:ascii="Arial" w:hAnsi="Arial" w:cs="Arial"/>
                <w:sz w:val="16"/>
                <w:szCs w:val="16"/>
              </w:rPr>
              <w:t>ación al tórax); ulceración local si ocurre extravasación, orina color rosa o roja, mielosupresión, alopecia</w:t>
            </w:r>
            <w:r w:rsidR="00650E5A">
              <w:rPr>
                <w:rFonts w:ascii="Arial" w:hAnsi="Arial" w:cs="Arial"/>
                <w:sz w:val="16"/>
                <w:szCs w:val="16"/>
              </w:rPr>
              <w:t>.</w:t>
            </w:r>
          </w:p>
          <w:p w:rsidR="00FB23A5" w:rsidRDefault="00FB23A5" w:rsidP="00C11C9E">
            <w:pPr>
              <w:jc w:val="both"/>
              <w:rPr>
                <w:rFonts w:ascii="Arial" w:hAnsi="Arial" w:cs="Arial"/>
                <w:sz w:val="16"/>
                <w:szCs w:val="16"/>
              </w:rPr>
            </w:pPr>
            <w:r>
              <w:rPr>
                <w:rFonts w:ascii="Arial" w:hAnsi="Arial" w:cs="Arial"/>
                <w:sz w:val="16"/>
                <w:szCs w:val="16"/>
              </w:rPr>
              <w:t>Ocasionales</w:t>
            </w:r>
            <w:r w:rsidR="005F5495">
              <w:rPr>
                <w:rFonts w:ascii="Arial" w:hAnsi="Arial" w:cs="Arial"/>
                <w:sz w:val="16"/>
                <w:szCs w:val="16"/>
              </w:rPr>
              <w:t>: hepatotoxicidad</w:t>
            </w:r>
            <w:r>
              <w:rPr>
                <w:rFonts w:ascii="Arial" w:hAnsi="Arial" w:cs="Arial"/>
                <w:sz w:val="16"/>
                <w:szCs w:val="16"/>
              </w:rPr>
              <w:t>, mucositis, miocardiopatía (acumulativa y dependiente de la dosis).</w:t>
            </w:r>
          </w:p>
          <w:p w:rsidR="0045504C" w:rsidRPr="00035BF7" w:rsidRDefault="00FB23A5" w:rsidP="005F5495">
            <w:pPr>
              <w:jc w:val="both"/>
              <w:rPr>
                <w:rFonts w:ascii="Arial" w:hAnsi="Arial" w:cs="Arial"/>
                <w:sz w:val="16"/>
                <w:szCs w:val="16"/>
              </w:rPr>
            </w:pPr>
            <w:r>
              <w:rPr>
                <w:rFonts w:ascii="Arial" w:hAnsi="Arial" w:cs="Arial"/>
                <w:sz w:val="16"/>
                <w:szCs w:val="16"/>
              </w:rPr>
              <w:t>Raros: anafilaxia, reacción alérgica, erupción, cáncer secundario</w:t>
            </w:r>
            <w:r w:rsidR="005F5495">
              <w:rPr>
                <w:rFonts w:ascii="Arial" w:hAnsi="Arial" w:cs="Arial"/>
                <w:sz w:val="16"/>
                <w:szCs w:val="16"/>
              </w:rPr>
              <w:t>.</w:t>
            </w:r>
            <w:r>
              <w:rPr>
                <w:rFonts w:ascii="Arial" w:hAnsi="Arial" w:cs="Arial"/>
                <w:sz w:val="16"/>
                <w:szCs w:val="16"/>
              </w:rPr>
              <w:t xml:space="preserve">  </w:t>
            </w:r>
          </w:p>
        </w:tc>
        <w:tc>
          <w:tcPr>
            <w:tcW w:w="3429" w:type="dxa"/>
          </w:tcPr>
          <w:p w:rsidR="00650E5A" w:rsidRDefault="00650E5A" w:rsidP="00C11C9E">
            <w:pPr>
              <w:jc w:val="both"/>
              <w:rPr>
                <w:rFonts w:ascii="Arial" w:hAnsi="Arial" w:cs="Arial"/>
                <w:sz w:val="16"/>
                <w:szCs w:val="16"/>
              </w:rPr>
            </w:pPr>
          </w:p>
          <w:p w:rsidR="00FB74E9" w:rsidRDefault="00FB74E9" w:rsidP="00C11C9E">
            <w:pPr>
              <w:jc w:val="both"/>
              <w:rPr>
                <w:rFonts w:ascii="Arial" w:hAnsi="Arial" w:cs="Arial"/>
                <w:sz w:val="16"/>
                <w:szCs w:val="16"/>
              </w:rPr>
            </w:pPr>
            <w:r>
              <w:rPr>
                <w:rFonts w:ascii="Arial" w:hAnsi="Arial" w:cs="Arial"/>
                <w:sz w:val="16"/>
                <w:szCs w:val="16"/>
              </w:rPr>
              <w:t xml:space="preserve">Deben realizarse estudios cardíacos con ecocardiograma o angiografía radioisotópica en reposo (MUGA) perióticamente para monitorear la función cardíaca; se deben tener una fracción de eyección cardíaca aceptable. </w:t>
            </w:r>
          </w:p>
          <w:p w:rsidR="00FB74E9" w:rsidRDefault="00FB74E9" w:rsidP="00C11C9E">
            <w:pPr>
              <w:jc w:val="both"/>
              <w:rPr>
                <w:rFonts w:ascii="Arial" w:hAnsi="Arial" w:cs="Arial"/>
                <w:sz w:val="16"/>
                <w:szCs w:val="16"/>
              </w:rPr>
            </w:pPr>
            <w:r>
              <w:rPr>
                <w:rFonts w:ascii="Arial" w:hAnsi="Arial" w:cs="Arial"/>
                <w:sz w:val="16"/>
                <w:szCs w:val="16"/>
              </w:rPr>
              <w:t>Debe monitorearse la dosis acumulativa.</w:t>
            </w:r>
          </w:p>
          <w:p w:rsidR="00FB74E9" w:rsidRDefault="00FB74E9" w:rsidP="00C11C9E">
            <w:pPr>
              <w:jc w:val="both"/>
              <w:rPr>
                <w:rFonts w:ascii="Arial" w:hAnsi="Arial" w:cs="Arial"/>
                <w:sz w:val="16"/>
                <w:szCs w:val="16"/>
              </w:rPr>
            </w:pPr>
            <w:r>
              <w:rPr>
                <w:rFonts w:ascii="Arial" w:hAnsi="Arial" w:cs="Arial"/>
                <w:sz w:val="16"/>
                <w:szCs w:val="16"/>
              </w:rPr>
              <w:t xml:space="preserve">La dosis debe ajustarse en presencia de anomalías hepáticas o renales. </w:t>
            </w:r>
          </w:p>
          <w:p w:rsidR="00FB74E9" w:rsidRDefault="00FB74E9" w:rsidP="00C11C9E">
            <w:pPr>
              <w:jc w:val="both"/>
              <w:rPr>
                <w:rFonts w:ascii="Arial" w:hAnsi="Arial" w:cs="Arial"/>
                <w:sz w:val="16"/>
                <w:szCs w:val="16"/>
              </w:rPr>
            </w:pPr>
            <w:r>
              <w:rPr>
                <w:rFonts w:ascii="Arial" w:hAnsi="Arial" w:cs="Arial"/>
                <w:sz w:val="16"/>
                <w:szCs w:val="16"/>
              </w:rPr>
              <w:t>Dermatitis por radioterapia.</w:t>
            </w:r>
          </w:p>
          <w:p w:rsidR="00FB74E9" w:rsidRDefault="00FB74E9" w:rsidP="00C11C9E">
            <w:pPr>
              <w:jc w:val="both"/>
              <w:rPr>
                <w:rFonts w:ascii="Arial" w:hAnsi="Arial" w:cs="Arial"/>
                <w:sz w:val="16"/>
                <w:szCs w:val="16"/>
              </w:rPr>
            </w:pPr>
            <w:r>
              <w:rPr>
                <w:rFonts w:ascii="Arial" w:hAnsi="Arial" w:cs="Arial"/>
                <w:sz w:val="16"/>
                <w:szCs w:val="16"/>
              </w:rPr>
              <w:t>Nadirs de leucocitos y plaquetas en 5-10 días.</w:t>
            </w:r>
          </w:p>
          <w:p w:rsidR="00FB74E9" w:rsidRPr="00035BF7" w:rsidRDefault="00FB74E9" w:rsidP="00C11C9E">
            <w:pPr>
              <w:jc w:val="both"/>
              <w:rPr>
                <w:rFonts w:ascii="Arial" w:hAnsi="Arial" w:cs="Arial"/>
                <w:sz w:val="16"/>
                <w:szCs w:val="16"/>
              </w:rPr>
            </w:pPr>
            <w:r>
              <w:rPr>
                <w:rFonts w:ascii="Arial" w:hAnsi="Arial" w:cs="Arial"/>
                <w:sz w:val="16"/>
                <w:szCs w:val="16"/>
              </w:rPr>
              <w:t>La orina puede ser de color rojo.</w:t>
            </w:r>
          </w:p>
        </w:tc>
        <w:tc>
          <w:tcPr>
            <w:tcW w:w="3827" w:type="dxa"/>
          </w:tcPr>
          <w:p w:rsidR="00650E5A" w:rsidRDefault="00650E5A" w:rsidP="00C11C9E">
            <w:pPr>
              <w:jc w:val="both"/>
              <w:rPr>
                <w:rFonts w:ascii="Arial" w:hAnsi="Arial" w:cs="Arial"/>
                <w:sz w:val="16"/>
                <w:szCs w:val="16"/>
              </w:rPr>
            </w:pPr>
          </w:p>
          <w:p w:rsidR="0045504C" w:rsidRDefault="00FB74E9" w:rsidP="00C11C9E">
            <w:pPr>
              <w:jc w:val="both"/>
              <w:rPr>
                <w:rFonts w:ascii="Arial" w:hAnsi="Arial" w:cs="Arial"/>
                <w:sz w:val="16"/>
                <w:szCs w:val="16"/>
              </w:rPr>
            </w:pPr>
            <w:r>
              <w:rPr>
                <w:rFonts w:ascii="Arial" w:hAnsi="Arial" w:cs="Arial"/>
                <w:sz w:val="16"/>
                <w:szCs w:val="16"/>
              </w:rPr>
              <w:t>Vesicante: lesiones tisulares graves si ocurre extravasación; evitar extravasación.</w:t>
            </w:r>
          </w:p>
          <w:p w:rsidR="00FB74E9" w:rsidRDefault="00FB74E9" w:rsidP="00C11C9E">
            <w:pPr>
              <w:jc w:val="both"/>
              <w:rPr>
                <w:rFonts w:ascii="Arial" w:hAnsi="Arial" w:cs="Arial"/>
                <w:sz w:val="16"/>
                <w:szCs w:val="16"/>
              </w:rPr>
            </w:pPr>
          </w:p>
          <w:p w:rsidR="00FB74E9" w:rsidRPr="00035BF7" w:rsidRDefault="00FB74E9" w:rsidP="00C11C9E">
            <w:pPr>
              <w:jc w:val="both"/>
              <w:rPr>
                <w:rFonts w:ascii="Arial" w:hAnsi="Arial" w:cs="Arial"/>
                <w:sz w:val="16"/>
                <w:szCs w:val="16"/>
              </w:rPr>
            </w:pPr>
            <w:r>
              <w:rPr>
                <w:rFonts w:ascii="Arial" w:hAnsi="Arial" w:cs="Arial"/>
                <w:sz w:val="16"/>
                <w:szCs w:val="16"/>
              </w:rPr>
              <w:t xml:space="preserve">Monitorear los estudios cardíacos seriados durante el tratamiento y como parte del seguimiento a largo plazo.   </w:t>
            </w:r>
          </w:p>
        </w:tc>
      </w:tr>
      <w:tr w:rsidR="0045504C" w:rsidTr="00650E5A">
        <w:trPr>
          <w:trHeight w:val="765"/>
        </w:trPr>
        <w:tc>
          <w:tcPr>
            <w:tcW w:w="1384" w:type="dxa"/>
          </w:tcPr>
          <w:p w:rsidR="0045504C" w:rsidRDefault="0045504C" w:rsidP="00C11C9E">
            <w:pPr>
              <w:jc w:val="both"/>
              <w:rPr>
                <w:rFonts w:ascii="Arial" w:hAnsi="Arial" w:cs="Arial"/>
                <w:sz w:val="16"/>
                <w:szCs w:val="16"/>
              </w:rPr>
            </w:pPr>
          </w:p>
          <w:p w:rsidR="00650E5A" w:rsidRPr="00035BF7" w:rsidRDefault="004B196E" w:rsidP="00C11C9E">
            <w:pPr>
              <w:jc w:val="both"/>
              <w:rPr>
                <w:rFonts w:ascii="Arial" w:hAnsi="Arial" w:cs="Arial"/>
                <w:sz w:val="16"/>
                <w:szCs w:val="16"/>
              </w:rPr>
            </w:pPr>
            <w:r>
              <w:rPr>
                <w:rFonts w:ascii="Arial" w:hAnsi="Arial" w:cs="Arial"/>
                <w:sz w:val="16"/>
                <w:szCs w:val="16"/>
              </w:rPr>
              <w:t>D</w:t>
            </w:r>
            <w:r w:rsidR="005F5495">
              <w:rPr>
                <w:rFonts w:ascii="Arial" w:hAnsi="Arial" w:cs="Arial"/>
                <w:sz w:val="16"/>
                <w:szCs w:val="16"/>
              </w:rPr>
              <w:t>ocetaxel</w:t>
            </w:r>
            <w:r>
              <w:rPr>
                <w:rFonts w:ascii="Arial" w:hAnsi="Arial" w:cs="Arial"/>
                <w:sz w:val="16"/>
                <w:szCs w:val="16"/>
              </w:rPr>
              <w:t xml:space="preserve"> (taxetere)</w:t>
            </w:r>
          </w:p>
        </w:tc>
        <w:tc>
          <w:tcPr>
            <w:tcW w:w="1418" w:type="dxa"/>
          </w:tcPr>
          <w:p w:rsidR="0045504C" w:rsidRDefault="0045504C" w:rsidP="00C11C9E">
            <w:pPr>
              <w:jc w:val="both"/>
              <w:rPr>
                <w:rFonts w:ascii="Arial" w:hAnsi="Arial" w:cs="Arial"/>
                <w:sz w:val="16"/>
                <w:szCs w:val="16"/>
              </w:rPr>
            </w:pPr>
          </w:p>
          <w:p w:rsidR="005F5495" w:rsidRPr="00035BF7" w:rsidRDefault="005F5495" w:rsidP="00C11C9E">
            <w:pPr>
              <w:jc w:val="both"/>
              <w:rPr>
                <w:rFonts w:ascii="Arial" w:hAnsi="Arial" w:cs="Arial"/>
                <w:sz w:val="16"/>
                <w:szCs w:val="16"/>
              </w:rPr>
            </w:pPr>
            <w:r>
              <w:rPr>
                <w:rFonts w:ascii="Arial" w:hAnsi="Arial" w:cs="Arial"/>
                <w:sz w:val="16"/>
                <w:szCs w:val="16"/>
              </w:rPr>
              <w:t xml:space="preserve">Derivado </w:t>
            </w:r>
            <w:r w:rsidR="004B196E">
              <w:rPr>
                <w:rFonts w:ascii="Arial" w:hAnsi="Arial" w:cs="Arial"/>
                <w:sz w:val="16"/>
                <w:szCs w:val="16"/>
              </w:rPr>
              <w:t>vegetal</w:t>
            </w:r>
          </w:p>
        </w:tc>
        <w:tc>
          <w:tcPr>
            <w:tcW w:w="850" w:type="dxa"/>
          </w:tcPr>
          <w:p w:rsidR="0045504C" w:rsidRDefault="0045504C" w:rsidP="00C11C9E">
            <w:pPr>
              <w:jc w:val="both"/>
              <w:rPr>
                <w:rFonts w:ascii="Arial" w:hAnsi="Arial" w:cs="Arial"/>
                <w:sz w:val="16"/>
                <w:szCs w:val="16"/>
              </w:rPr>
            </w:pPr>
          </w:p>
          <w:p w:rsidR="005F5495" w:rsidRPr="00035BF7" w:rsidRDefault="005F5495" w:rsidP="00C11C9E">
            <w:pPr>
              <w:jc w:val="both"/>
              <w:rPr>
                <w:rFonts w:ascii="Arial" w:hAnsi="Arial" w:cs="Arial"/>
                <w:sz w:val="16"/>
                <w:szCs w:val="16"/>
              </w:rPr>
            </w:pPr>
            <w:r>
              <w:rPr>
                <w:rFonts w:ascii="Arial" w:hAnsi="Arial" w:cs="Arial"/>
                <w:sz w:val="16"/>
                <w:szCs w:val="16"/>
              </w:rPr>
              <w:t>iv</w:t>
            </w:r>
          </w:p>
        </w:tc>
        <w:tc>
          <w:tcPr>
            <w:tcW w:w="2241" w:type="dxa"/>
          </w:tcPr>
          <w:p w:rsidR="0045504C" w:rsidRDefault="0045504C" w:rsidP="00C11C9E">
            <w:pPr>
              <w:jc w:val="both"/>
              <w:rPr>
                <w:rFonts w:ascii="Arial" w:hAnsi="Arial" w:cs="Arial"/>
                <w:sz w:val="16"/>
                <w:szCs w:val="16"/>
              </w:rPr>
            </w:pPr>
          </w:p>
          <w:p w:rsidR="005F5495" w:rsidRPr="00035BF7" w:rsidRDefault="005F5495" w:rsidP="00C11C9E">
            <w:pPr>
              <w:jc w:val="both"/>
              <w:rPr>
                <w:rFonts w:ascii="Arial" w:hAnsi="Arial" w:cs="Arial"/>
                <w:sz w:val="16"/>
                <w:szCs w:val="16"/>
              </w:rPr>
            </w:pPr>
            <w:r>
              <w:rPr>
                <w:rFonts w:ascii="Arial" w:hAnsi="Arial" w:cs="Arial"/>
                <w:sz w:val="16"/>
                <w:szCs w:val="16"/>
              </w:rPr>
              <w:t xml:space="preserve">Frecuentes: mielosupresión, alopecia, retención de líquidos (puede evitarse con la administración de esteroides); toxicidad cutánea </w:t>
            </w:r>
            <w:r w:rsidR="004B196E">
              <w:rPr>
                <w:rFonts w:ascii="Arial" w:hAnsi="Arial" w:cs="Arial"/>
                <w:sz w:val="16"/>
                <w:szCs w:val="16"/>
              </w:rPr>
              <w:t>(erupción prurí</w:t>
            </w:r>
            <w:r>
              <w:rPr>
                <w:rFonts w:ascii="Arial" w:hAnsi="Arial" w:cs="Arial"/>
                <w:sz w:val="16"/>
                <w:szCs w:val="16"/>
              </w:rPr>
              <w:t>tica maculopapular eritematosa en los antebrazos y manos)</w:t>
            </w:r>
          </w:p>
        </w:tc>
        <w:tc>
          <w:tcPr>
            <w:tcW w:w="3429" w:type="dxa"/>
          </w:tcPr>
          <w:p w:rsidR="0045504C" w:rsidRDefault="005F5495" w:rsidP="00C11C9E">
            <w:pPr>
              <w:jc w:val="both"/>
              <w:rPr>
                <w:rFonts w:ascii="Arial" w:hAnsi="Arial" w:cs="Arial"/>
                <w:sz w:val="16"/>
                <w:szCs w:val="16"/>
              </w:rPr>
            </w:pPr>
            <w:r>
              <w:rPr>
                <w:rFonts w:ascii="Arial" w:hAnsi="Arial" w:cs="Arial"/>
                <w:sz w:val="16"/>
                <w:szCs w:val="16"/>
              </w:rPr>
              <w:t>Deben utilizarse bolsas y mangueras que no contengan PVC</w:t>
            </w:r>
            <w:r w:rsidR="004B196E">
              <w:rPr>
                <w:rFonts w:ascii="Arial" w:hAnsi="Arial" w:cs="Arial"/>
                <w:sz w:val="16"/>
                <w:szCs w:val="16"/>
              </w:rPr>
              <w:t>.</w:t>
            </w:r>
          </w:p>
          <w:p w:rsidR="004B196E" w:rsidRDefault="004B196E" w:rsidP="00C11C9E">
            <w:pPr>
              <w:jc w:val="both"/>
              <w:rPr>
                <w:rFonts w:ascii="Arial" w:hAnsi="Arial" w:cs="Arial"/>
                <w:sz w:val="16"/>
                <w:szCs w:val="16"/>
              </w:rPr>
            </w:pPr>
            <w:r>
              <w:rPr>
                <w:rFonts w:ascii="Arial" w:hAnsi="Arial" w:cs="Arial"/>
                <w:sz w:val="16"/>
                <w:szCs w:val="16"/>
              </w:rPr>
              <w:t>La solución IV puede formar espuma.</w:t>
            </w:r>
          </w:p>
          <w:p w:rsidR="004B196E" w:rsidRDefault="004B196E" w:rsidP="00C11C9E">
            <w:pPr>
              <w:jc w:val="both"/>
              <w:rPr>
                <w:rFonts w:ascii="Arial" w:hAnsi="Arial" w:cs="Arial"/>
                <w:sz w:val="16"/>
                <w:szCs w:val="16"/>
              </w:rPr>
            </w:pPr>
            <w:r>
              <w:rPr>
                <w:rFonts w:ascii="Arial" w:hAnsi="Arial" w:cs="Arial"/>
                <w:sz w:val="16"/>
                <w:szCs w:val="16"/>
              </w:rPr>
              <w:t>Metabolismo aumentado del docetaxel en pacientes tratados simultáneamente con fenobarbital y fenitoína.</w:t>
            </w:r>
          </w:p>
          <w:p w:rsidR="00394F57" w:rsidRPr="00035BF7" w:rsidRDefault="00394F57" w:rsidP="00C11C9E">
            <w:pPr>
              <w:jc w:val="both"/>
              <w:rPr>
                <w:rFonts w:ascii="Arial" w:hAnsi="Arial" w:cs="Arial"/>
                <w:sz w:val="16"/>
                <w:szCs w:val="16"/>
              </w:rPr>
            </w:pPr>
            <w:r>
              <w:rPr>
                <w:rFonts w:ascii="Arial" w:hAnsi="Arial" w:cs="Arial"/>
                <w:sz w:val="16"/>
                <w:szCs w:val="16"/>
              </w:rPr>
              <w:t xml:space="preserve">Nadir de leucocitos en aproximadamente 9 días. </w:t>
            </w:r>
          </w:p>
        </w:tc>
        <w:tc>
          <w:tcPr>
            <w:tcW w:w="3827" w:type="dxa"/>
          </w:tcPr>
          <w:p w:rsidR="004B196E" w:rsidRDefault="00394F57" w:rsidP="00C11C9E">
            <w:pPr>
              <w:jc w:val="both"/>
              <w:rPr>
                <w:rFonts w:ascii="Arial" w:hAnsi="Arial" w:cs="Arial"/>
                <w:sz w:val="16"/>
                <w:szCs w:val="16"/>
              </w:rPr>
            </w:pPr>
            <w:r>
              <w:rPr>
                <w:rFonts w:ascii="Arial" w:hAnsi="Arial" w:cs="Arial"/>
                <w:sz w:val="16"/>
                <w:szCs w:val="16"/>
              </w:rPr>
              <w:t>Premedicar con esteroides 1 día antes de iniciar la terapia con docetaxel, durante la infusión, y 1 día después para reducir al mínimo las reacciones de hipersensibilidad y la retención de líquidos.</w:t>
            </w:r>
          </w:p>
          <w:p w:rsidR="00394F57" w:rsidRDefault="00394F57" w:rsidP="00C11C9E">
            <w:pPr>
              <w:jc w:val="both"/>
              <w:rPr>
                <w:rFonts w:ascii="Arial" w:hAnsi="Arial" w:cs="Arial"/>
                <w:sz w:val="16"/>
                <w:szCs w:val="16"/>
              </w:rPr>
            </w:pPr>
            <w:r>
              <w:rPr>
                <w:rFonts w:ascii="Arial" w:hAnsi="Arial" w:cs="Arial"/>
                <w:sz w:val="16"/>
                <w:szCs w:val="16"/>
              </w:rPr>
              <w:t>No agitar el frasco ampolla.</w:t>
            </w:r>
          </w:p>
          <w:p w:rsidR="00394F57" w:rsidRDefault="00394F57" w:rsidP="00C11C9E">
            <w:pPr>
              <w:jc w:val="both"/>
              <w:rPr>
                <w:rFonts w:ascii="Arial" w:hAnsi="Arial" w:cs="Arial"/>
                <w:sz w:val="16"/>
                <w:szCs w:val="16"/>
              </w:rPr>
            </w:pPr>
            <w:r>
              <w:rPr>
                <w:rFonts w:ascii="Arial" w:hAnsi="Arial" w:cs="Arial"/>
                <w:sz w:val="16"/>
                <w:szCs w:val="16"/>
              </w:rPr>
              <w:t>Usar durante las 4 horas posteriores a la reconstrución.</w:t>
            </w:r>
          </w:p>
          <w:p w:rsidR="00394F57" w:rsidRPr="00035BF7" w:rsidRDefault="00394F57" w:rsidP="00C11C9E">
            <w:pPr>
              <w:jc w:val="both"/>
              <w:rPr>
                <w:rFonts w:ascii="Arial" w:hAnsi="Arial" w:cs="Arial"/>
                <w:sz w:val="16"/>
                <w:szCs w:val="16"/>
              </w:rPr>
            </w:pPr>
            <w:r>
              <w:rPr>
                <w:rFonts w:ascii="Arial" w:hAnsi="Arial" w:cs="Arial"/>
                <w:sz w:val="16"/>
                <w:szCs w:val="16"/>
              </w:rPr>
              <w:t xml:space="preserve"> </w:t>
            </w:r>
          </w:p>
        </w:tc>
      </w:tr>
    </w:tbl>
    <w:p w:rsidR="0045504C" w:rsidRDefault="0045504C" w:rsidP="0045504C">
      <w:pPr>
        <w:jc w:val="both"/>
        <w:rPr>
          <w:rFonts w:ascii="Arial" w:hAnsi="Arial" w:cs="Arial"/>
          <w:sz w:val="24"/>
          <w:szCs w:val="24"/>
        </w:rPr>
      </w:pPr>
    </w:p>
    <w:p w:rsidR="00650E5A" w:rsidRDefault="00650E5A" w:rsidP="0045504C">
      <w:pPr>
        <w:jc w:val="both"/>
        <w:rPr>
          <w:rFonts w:ascii="Arial" w:hAnsi="Arial" w:cs="Arial"/>
          <w:sz w:val="24"/>
          <w:szCs w:val="24"/>
        </w:rPr>
      </w:pPr>
    </w:p>
    <w:p w:rsidR="00650E5A" w:rsidRDefault="00650E5A" w:rsidP="0045504C">
      <w:pPr>
        <w:jc w:val="both"/>
        <w:rPr>
          <w:rFonts w:ascii="Arial" w:hAnsi="Arial" w:cs="Arial"/>
          <w:sz w:val="24"/>
          <w:szCs w:val="24"/>
        </w:rPr>
      </w:pPr>
    </w:p>
    <w:p w:rsidR="004B196E" w:rsidRDefault="004B196E" w:rsidP="0045504C">
      <w:pPr>
        <w:jc w:val="both"/>
        <w:rPr>
          <w:rFonts w:ascii="Arial" w:hAnsi="Arial" w:cs="Arial"/>
          <w:sz w:val="24"/>
          <w:szCs w:val="24"/>
        </w:rPr>
      </w:pPr>
    </w:p>
    <w:p w:rsidR="004B196E" w:rsidRDefault="004B196E" w:rsidP="0045504C">
      <w:pPr>
        <w:jc w:val="both"/>
        <w:rPr>
          <w:rFonts w:ascii="Arial" w:hAnsi="Arial" w:cs="Arial"/>
          <w:sz w:val="24"/>
          <w:szCs w:val="24"/>
        </w:rPr>
      </w:pPr>
    </w:p>
    <w:p w:rsidR="00394F57" w:rsidRDefault="00394F57" w:rsidP="0045504C">
      <w:pPr>
        <w:jc w:val="both"/>
        <w:rPr>
          <w:rFonts w:ascii="Arial" w:hAnsi="Arial" w:cs="Arial"/>
          <w:sz w:val="24"/>
          <w:szCs w:val="24"/>
        </w:rPr>
      </w:pPr>
    </w:p>
    <w:p w:rsidR="005F5495" w:rsidRDefault="005F5495" w:rsidP="005F5495">
      <w:pPr>
        <w:jc w:val="both"/>
        <w:rPr>
          <w:rFonts w:ascii="Arial" w:hAnsi="Arial" w:cs="Arial"/>
          <w:sz w:val="24"/>
          <w:szCs w:val="24"/>
        </w:rPr>
      </w:pPr>
      <w:r>
        <w:rPr>
          <w:rFonts w:ascii="Arial" w:hAnsi="Arial" w:cs="Arial"/>
          <w:sz w:val="24"/>
          <w:szCs w:val="24"/>
        </w:rPr>
        <w:t>Tabla 1 Agentes quimioterapéuticos</w:t>
      </w:r>
    </w:p>
    <w:tbl>
      <w:tblPr>
        <w:tblStyle w:val="Tablaconcuadrcula"/>
        <w:tblW w:w="0" w:type="auto"/>
        <w:tblLayout w:type="fixed"/>
        <w:tblLook w:val="04A0" w:firstRow="1" w:lastRow="0" w:firstColumn="1" w:lastColumn="0" w:noHBand="0" w:noVBand="1"/>
      </w:tblPr>
      <w:tblGrid>
        <w:gridCol w:w="1242"/>
        <w:gridCol w:w="1418"/>
        <w:gridCol w:w="850"/>
        <w:gridCol w:w="2383"/>
        <w:gridCol w:w="1706"/>
        <w:gridCol w:w="5550"/>
      </w:tblGrid>
      <w:tr w:rsidR="0045504C" w:rsidTr="00394F57">
        <w:tc>
          <w:tcPr>
            <w:tcW w:w="1242" w:type="dxa"/>
          </w:tcPr>
          <w:p w:rsidR="0045504C" w:rsidRPr="0028732A" w:rsidRDefault="0045504C" w:rsidP="00C11C9E">
            <w:pPr>
              <w:jc w:val="both"/>
              <w:rPr>
                <w:rFonts w:ascii="Arial" w:hAnsi="Arial" w:cs="Arial"/>
                <w:sz w:val="20"/>
                <w:szCs w:val="20"/>
              </w:rPr>
            </w:pPr>
            <w:r w:rsidRPr="0028732A">
              <w:rPr>
                <w:rFonts w:ascii="Arial" w:hAnsi="Arial" w:cs="Arial"/>
                <w:sz w:val="20"/>
                <w:szCs w:val="20"/>
              </w:rPr>
              <w:t>fármaco</w:t>
            </w:r>
          </w:p>
        </w:tc>
        <w:tc>
          <w:tcPr>
            <w:tcW w:w="1418" w:type="dxa"/>
          </w:tcPr>
          <w:p w:rsidR="0045504C" w:rsidRPr="0028732A" w:rsidRDefault="0045504C" w:rsidP="00C11C9E">
            <w:pPr>
              <w:jc w:val="both"/>
              <w:rPr>
                <w:rFonts w:ascii="Arial" w:hAnsi="Arial" w:cs="Arial"/>
                <w:sz w:val="20"/>
                <w:szCs w:val="20"/>
              </w:rPr>
            </w:pPr>
            <w:r w:rsidRPr="0028732A">
              <w:rPr>
                <w:rFonts w:ascii="Arial" w:hAnsi="Arial" w:cs="Arial"/>
                <w:sz w:val="20"/>
                <w:szCs w:val="20"/>
              </w:rPr>
              <w:t xml:space="preserve">Clasificación </w:t>
            </w:r>
          </w:p>
        </w:tc>
        <w:tc>
          <w:tcPr>
            <w:tcW w:w="850" w:type="dxa"/>
          </w:tcPr>
          <w:p w:rsidR="0045504C" w:rsidRPr="0028732A" w:rsidRDefault="0045504C" w:rsidP="00C11C9E">
            <w:pPr>
              <w:jc w:val="both"/>
              <w:rPr>
                <w:rFonts w:ascii="Arial" w:hAnsi="Arial" w:cs="Arial"/>
                <w:sz w:val="20"/>
                <w:szCs w:val="20"/>
              </w:rPr>
            </w:pPr>
            <w:r w:rsidRPr="0028732A">
              <w:rPr>
                <w:rFonts w:ascii="Arial" w:hAnsi="Arial" w:cs="Arial"/>
                <w:sz w:val="20"/>
                <w:szCs w:val="20"/>
              </w:rPr>
              <w:t xml:space="preserve">Vía de </w:t>
            </w:r>
            <w:r>
              <w:rPr>
                <w:rFonts w:ascii="Arial" w:hAnsi="Arial" w:cs="Arial"/>
                <w:sz w:val="20"/>
                <w:szCs w:val="20"/>
              </w:rPr>
              <w:t>adm.</w:t>
            </w:r>
            <w:r w:rsidRPr="0028732A">
              <w:rPr>
                <w:rFonts w:ascii="Arial" w:hAnsi="Arial" w:cs="Arial"/>
                <w:sz w:val="20"/>
                <w:szCs w:val="20"/>
              </w:rPr>
              <w:t xml:space="preserve"> </w:t>
            </w:r>
          </w:p>
        </w:tc>
        <w:tc>
          <w:tcPr>
            <w:tcW w:w="2383" w:type="dxa"/>
          </w:tcPr>
          <w:p w:rsidR="0045504C" w:rsidRPr="0028732A" w:rsidRDefault="0045504C" w:rsidP="00C11C9E">
            <w:pPr>
              <w:jc w:val="both"/>
              <w:rPr>
                <w:rFonts w:ascii="Arial" w:hAnsi="Arial" w:cs="Arial"/>
                <w:sz w:val="20"/>
                <w:szCs w:val="20"/>
              </w:rPr>
            </w:pPr>
            <w:r w:rsidRPr="0028732A">
              <w:rPr>
                <w:rFonts w:ascii="Arial" w:hAnsi="Arial" w:cs="Arial"/>
                <w:sz w:val="20"/>
                <w:szCs w:val="20"/>
              </w:rPr>
              <w:t>Efectos secundarios</w:t>
            </w:r>
          </w:p>
        </w:tc>
        <w:tc>
          <w:tcPr>
            <w:tcW w:w="1706" w:type="dxa"/>
          </w:tcPr>
          <w:p w:rsidR="0045504C" w:rsidRPr="0028732A" w:rsidRDefault="0045504C" w:rsidP="00C11C9E">
            <w:pPr>
              <w:jc w:val="both"/>
              <w:rPr>
                <w:rFonts w:ascii="Arial" w:hAnsi="Arial" w:cs="Arial"/>
                <w:sz w:val="20"/>
                <w:szCs w:val="20"/>
              </w:rPr>
            </w:pPr>
            <w:r w:rsidRPr="0028732A">
              <w:rPr>
                <w:rFonts w:ascii="Arial" w:hAnsi="Arial" w:cs="Arial"/>
                <w:sz w:val="20"/>
                <w:szCs w:val="20"/>
              </w:rPr>
              <w:t>Consideraciones especiales</w:t>
            </w:r>
          </w:p>
        </w:tc>
        <w:tc>
          <w:tcPr>
            <w:tcW w:w="5550" w:type="dxa"/>
          </w:tcPr>
          <w:p w:rsidR="0045504C" w:rsidRPr="0028732A" w:rsidRDefault="0045504C" w:rsidP="00C11C9E">
            <w:pPr>
              <w:jc w:val="both"/>
              <w:rPr>
                <w:rFonts w:ascii="Arial" w:hAnsi="Arial" w:cs="Arial"/>
                <w:sz w:val="20"/>
                <w:szCs w:val="20"/>
              </w:rPr>
            </w:pPr>
            <w:r w:rsidRPr="0028732A">
              <w:rPr>
                <w:rFonts w:ascii="Arial" w:hAnsi="Arial" w:cs="Arial"/>
                <w:sz w:val="20"/>
                <w:szCs w:val="20"/>
              </w:rPr>
              <w:t>Acciones de enfermería</w:t>
            </w:r>
          </w:p>
        </w:tc>
      </w:tr>
      <w:tr w:rsidR="0045504C" w:rsidTr="00394F57">
        <w:tc>
          <w:tcPr>
            <w:tcW w:w="1242" w:type="dxa"/>
          </w:tcPr>
          <w:p w:rsidR="00394F57" w:rsidRDefault="00394F57" w:rsidP="00C11C9E">
            <w:pPr>
              <w:jc w:val="both"/>
              <w:rPr>
                <w:rFonts w:ascii="Arial" w:hAnsi="Arial" w:cs="Arial"/>
                <w:sz w:val="16"/>
                <w:szCs w:val="16"/>
              </w:rPr>
            </w:pPr>
          </w:p>
          <w:p w:rsidR="0045504C" w:rsidRDefault="00394F57" w:rsidP="00C11C9E">
            <w:pPr>
              <w:jc w:val="both"/>
              <w:rPr>
                <w:rFonts w:ascii="Arial" w:hAnsi="Arial" w:cs="Arial"/>
                <w:sz w:val="16"/>
                <w:szCs w:val="16"/>
              </w:rPr>
            </w:pPr>
            <w:r>
              <w:rPr>
                <w:rFonts w:ascii="Arial" w:hAnsi="Arial" w:cs="Arial"/>
                <w:sz w:val="16"/>
                <w:szCs w:val="16"/>
              </w:rPr>
              <w:t>Etopósido</w:t>
            </w:r>
          </w:p>
          <w:p w:rsidR="00394F57" w:rsidRPr="00035BF7" w:rsidRDefault="00394F57" w:rsidP="00C11C9E">
            <w:pPr>
              <w:jc w:val="both"/>
              <w:rPr>
                <w:rFonts w:ascii="Arial" w:hAnsi="Arial" w:cs="Arial"/>
                <w:sz w:val="16"/>
                <w:szCs w:val="16"/>
              </w:rPr>
            </w:pPr>
            <w:r>
              <w:rPr>
                <w:rFonts w:ascii="Arial" w:hAnsi="Arial" w:cs="Arial"/>
                <w:sz w:val="16"/>
                <w:szCs w:val="16"/>
              </w:rPr>
              <w:t>(toposar, VePesid)</w:t>
            </w:r>
          </w:p>
        </w:tc>
        <w:tc>
          <w:tcPr>
            <w:tcW w:w="1418" w:type="dxa"/>
          </w:tcPr>
          <w:p w:rsidR="00394F57" w:rsidRDefault="00394F57" w:rsidP="00C11C9E">
            <w:pPr>
              <w:jc w:val="both"/>
              <w:rPr>
                <w:rFonts w:ascii="Arial" w:hAnsi="Arial" w:cs="Arial"/>
                <w:sz w:val="16"/>
                <w:szCs w:val="16"/>
              </w:rPr>
            </w:pPr>
          </w:p>
          <w:p w:rsidR="0045504C" w:rsidRPr="00035BF7" w:rsidRDefault="00394F57" w:rsidP="00C11C9E">
            <w:pPr>
              <w:jc w:val="both"/>
              <w:rPr>
                <w:rFonts w:ascii="Arial" w:hAnsi="Arial" w:cs="Arial"/>
                <w:sz w:val="16"/>
                <w:szCs w:val="16"/>
              </w:rPr>
            </w:pPr>
            <w:r>
              <w:rPr>
                <w:rFonts w:ascii="Arial" w:hAnsi="Arial" w:cs="Arial"/>
                <w:sz w:val="16"/>
                <w:szCs w:val="16"/>
              </w:rPr>
              <w:t>Derivado vegetal; epipodofilotoxina</w:t>
            </w:r>
          </w:p>
        </w:tc>
        <w:tc>
          <w:tcPr>
            <w:tcW w:w="850" w:type="dxa"/>
          </w:tcPr>
          <w:p w:rsidR="0045504C" w:rsidRDefault="0045504C" w:rsidP="00C11C9E">
            <w:pPr>
              <w:jc w:val="both"/>
              <w:rPr>
                <w:rFonts w:ascii="Arial" w:hAnsi="Arial" w:cs="Arial"/>
                <w:sz w:val="16"/>
                <w:szCs w:val="16"/>
              </w:rPr>
            </w:pPr>
          </w:p>
          <w:p w:rsidR="00394F57" w:rsidRPr="00035BF7" w:rsidRDefault="00394F57" w:rsidP="00C11C9E">
            <w:pPr>
              <w:jc w:val="both"/>
              <w:rPr>
                <w:rFonts w:ascii="Arial" w:hAnsi="Arial" w:cs="Arial"/>
                <w:sz w:val="16"/>
                <w:szCs w:val="16"/>
              </w:rPr>
            </w:pPr>
            <w:r>
              <w:rPr>
                <w:rFonts w:ascii="Arial" w:hAnsi="Arial" w:cs="Arial"/>
                <w:sz w:val="16"/>
                <w:szCs w:val="16"/>
              </w:rPr>
              <w:t>IV, Oral</w:t>
            </w:r>
          </w:p>
        </w:tc>
        <w:tc>
          <w:tcPr>
            <w:tcW w:w="2383" w:type="dxa"/>
          </w:tcPr>
          <w:p w:rsidR="0045504C" w:rsidRDefault="0045504C" w:rsidP="00C11C9E">
            <w:pPr>
              <w:jc w:val="both"/>
              <w:rPr>
                <w:rFonts w:ascii="Arial" w:hAnsi="Arial" w:cs="Arial"/>
                <w:sz w:val="16"/>
                <w:szCs w:val="16"/>
              </w:rPr>
            </w:pPr>
          </w:p>
          <w:p w:rsidR="0045504C" w:rsidRDefault="00394F57" w:rsidP="00C11C9E">
            <w:pPr>
              <w:jc w:val="both"/>
              <w:rPr>
                <w:rFonts w:ascii="Arial" w:hAnsi="Arial" w:cs="Arial"/>
                <w:sz w:val="16"/>
                <w:szCs w:val="16"/>
              </w:rPr>
            </w:pPr>
            <w:r>
              <w:rPr>
                <w:rFonts w:ascii="Arial" w:hAnsi="Arial" w:cs="Arial"/>
                <w:sz w:val="16"/>
                <w:szCs w:val="16"/>
              </w:rPr>
              <w:t>Frecuentes: nauseas, vómito, mielosupresión.</w:t>
            </w:r>
          </w:p>
          <w:p w:rsidR="00394F57" w:rsidRDefault="00975F97" w:rsidP="00C11C9E">
            <w:pPr>
              <w:jc w:val="both"/>
              <w:rPr>
                <w:rFonts w:ascii="Arial" w:hAnsi="Arial" w:cs="Arial"/>
                <w:sz w:val="16"/>
                <w:szCs w:val="16"/>
              </w:rPr>
            </w:pPr>
            <w:r>
              <w:rPr>
                <w:rFonts w:ascii="Arial" w:hAnsi="Arial" w:cs="Arial"/>
                <w:sz w:val="16"/>
                <w:szCs w:val="16"/>
              </w:rPr>
              <w:t>Ocasionales: alopecia, aumento de los efectos secundarios de la radiación, diarrea.</w:t>
            </w:r>
          </w:p>
          <w:p w:rsidR="00975F97" w:rsidRDefault="00975F97" w:rsidP="00C11C9E">
            <w:pPr>
              <w:jc w:val="both"/>
              <w:rPr>
                <w:rFonts w:ascii="Arial" w:hAnsi="Arial" w:cs="Arial"/>
                <w:sz w:val="16"/>
                <w:szCs w:val="16"/>
              </w:rPr>
            </w:pPr>
            <w:r>
              <w:rPr>
                <w:rFonts w:ascii="Arial" w:hAnsi="Arial" w:cs="Arial"/>
                <w:sz w:val="16"/>
                <w:szCs w:val="16"/>
              </w:rPr>
              <w:t>Raros: hipotensión, anafilaxis, erupción, neuropatía periférica, estomatitis, cáncer secundario.</w:t>
            </w:r>
          </w:p>
          <w:p w:rsidR="0045504C" w:rsidRPr="00035BF7" w:rsidRDefault="0045504C" w:rsidP="00C11C9E">
            <w:pPr>
              <w:jc w:val="both"/>
              <w:rPr>
                <w:rFonts w:ascii="Arial" w:hAnsi="Arial" w:cs="Arial"/>
                <w:sz w:val="16"/>
                <w:szCs w:val="16"/>
              </w:rPr>
            </w:pPr>
          </w:p>
        </w:tc>
        <w:tc>
          <w:tcPr>
            <w:tcW w:w="1706" w:type="dxa"/>
          </w:tcPr>
          <w:p w:rsidR="0045504C" w:rsidRDefault="0045504C" w:rsidP="00C11C9E">
            <w:pPr>
              <w:jc w:val="both"/>
              <w:rPr>
                <w:rFonts w:ascii="Arial" w:hAnsi="Arial" w:cs="Arial"/>
                <w:sz w:val="16"/>
                <w:szCs w:val="16"/>
              </w:rPr>
            </w:pPr>
          </w:p>
          <w:p w:rsidR="00975F97" w:rsidRDefault="00975F97" w:rsidP="00C11C9E">
            <w:pPr>
              <w:jc w:val="both"/>
              <w:rPr>
                <w:rFonts w:ascii="Arial" w:hAnsi="Arial" w:cs="Arial"/>
                <w:sz w:val="16"/>
                <w:szCs w:val="16"/>
              </w:rPr>
            </w:pPr>
            <w:r>
              <w:rPr>
                <w:rFonts w:ascii="Arial" w:hAnsi="Arial" w:cs="Arial"/>
                <w:sz w:val="16"/>
                <w:szCs w:val="16"/>
              </w:rPr>
              <w:t>La infusión rápida puede causar hipotensión severa.</w:t>
            </w:r>
          </w:p>
          <w:p w:rsidR="00975F97" w:rsidRPr="00035BF7" w:rsidRDefault="00975F97" w:rsidP="00C11C9E">
            <w:pPr>
              <w:jc w:val="both"/>
              <w:rPr>
                <w:rFonts w:ascii="Arial" w:hAnsi="Arial" w:cs="Arial"/>
                <w:sz w:val="16"/>
                <w:szCs w:val="16"/>
              </w:rPr>
            </w:pPr>
            <w:proofErr w:type="gramStart"/>
            <w:r>
              <w:rPr>
                <w:rFonts w:ascii="Arial" w:hAnsi="Arial" w:cs="Arial"/>
                <w:sz w:val="16"/>
                <w:szCs w:val="16"/>
              </w:rPr>
              <w:t>La</w:t>
            </w:r>
            <w:proofErr w:type="gramEnd"/>
            <w:r>
              <w:rPr>
                <w:rFonts w:ascii="Arial" w:hAnsi="Arial" w:cs="Arial"/>
                <w:sz w:val="16"/>
                <w:szCs w:val="16"/>
              </w:rPr>
              <w:t xml:space="preserve"> soluciones con concentraciones por arriba de 0,4 mg/ml tienen una estabilidad impredecible.</w:t>
            </w:r>
          </w:p>
        </w:tc>
        <w:tc>
          <w:tcPr>
            <w:tcW w:w="5550" w:type="dxa"/>
          </w:tcPr>
          <w:p w:rsidR="00394F57" w:rsidRDefault="00394F57" w:rsidP="00394F57">
            <w:pPr>
              <w:jc w:val="both"/>
              <w:rPr>
                <w:rFonts w:ascii="Arial" w:hAnsi="Arial" w:cs="Arial"/>
                <w:sz w:val="16"/>
                <w:szCs w:val="16"/>
              </w:rPr>
            </w:pPr>
            <w:r>
              <w:rPr>
                <w:rFonts w:ascii="Arial" w:hAnsi="Arial" w:cs="Arial"/>
                <w:sz w:val="16"/>
                <w:szCs w:val="16"/>
              </w:rPr>
              <w:t>Instruir al paciente que no haga cambios súbitos de posición (la hipotensión postural ocurre cuando cambia con rapidez desde la posición supina a la posición sentado o de pie).</w:t>
            </w:r>
          </w:p>
          <w:p w:rsidR="00394F57" w:rsidRDefault="00394F57" w:rsidP="00394F57">
            <w:pPr>
              <w:jc w:val="both"/>
              <w:rPr>
                <w:rFonts w:ascii="Arial" w:hAnsi="Arial" w:cs="Arial"/>
                <w:sz w:val="16"/>
                <w:szCs w:val="16"/>
              </w:rPr>
            </w:pPr>
            <w:r>
              <w:rPr>
                <w:rFonts w:ascii="Arial" w:hAnsi="Arial" w:cs="Arial"/>
                <w:sz w:val="16"/>
                <w:szCs w:val="16"/>
              </w:rPr>
              <w:t>Monitorear con frecuencia la presión arterial durante la administración.</w:t>
            </w:r>
          </w:p>
          <w:p w:rsidR="00394F57" w:rsidRDefault="00394F57" w:rsidP="00394F57">
            <w:pPr>
              <w:jc w:val="both"/>
              <w:rPr>
                <w:rFonts w:ascii="Arial" w:hAnsi="Arial" w:cs="Arial"/>
                <w:sz w:val="16"/>
                <w:szCs w:val="16"/>
              </w:rPr>
            </w:pPr>
            <w:r>
              <w:rPr>
                <w:rFonts w:ascii="Arial" w:hAnsi="Arial" w:cs="Arial"/>
                <w:sz w:val="16"/>
                <w:szCs w:val="16"/>
              </w:rPr>
              <w:t>Administrar la dosis IV en un lapso de 60 minutos para evitar hipotensión severa.</w:t>
            </w:r>
          </w:p>
          <w:p w:rsidR="00394F57" w:rsidRDefault="00394F57" w:rsidP="00394F57">
            <w:pPr>
              <w:jc w:val="both"/>
              <w:rPr>
                <w:rFonts w:ascii="Arial" w:hAnsi="Arial" w:cs="Arial"/>
                <w:sz w:val="16"/>
                <w:szCs w:val="16"/>
              </w:rPr>
            </w:pPr>
            <w:r>
              <w:rPr>
                <w:rFonts w:ascii="Arial" w:hAnsi="Arial" w:cs="Arial"/>
                <w:sz w:val="16"/>
                <w:szCs w:val="16"/>
              </w:rPr>
              <w:t>Instruir al padre/madre que las cápsulas deben mantenerse refrigeradas.</w:t>
            </w:r>
          </w:p>
          <w:p w:rsidR="0045504C" w:rsidRPr="00035BF7" w:rsidRDefault="00394F57" w:rsidP="00394F57">
            <w:pPr>
              <w:jc w:val="both"/>
              <w:rPr>
                <w:rFonts w:ascii="Arial" w:hAnsi="Arial" w:cs="Arial"/>
                <w:sz w:val="16"/>
                <w:szCs w:val="16"/>
              </w:rPr>
            </w:pPr>
            <w:r>
              <w:rPr>
                <w:rFonts w:ascii="Arial" w:hAnsi="Arial" w:cs="Arial"/>
                <w:sz w:val="16"/>
                <w:szCs w:val="16"/>
              </w:rPr>
              <w:t>Vigilar de cerca las conexiones de las mangueras del equipo de infusión IV ya que el etopósido puede causar fracturas en el plástico</w:t>
            </w:r>
          </w:p>
        </w:tc>
      </w:tr>
      <w:tr w:rsidR="0045504C" w:rsidTr="00394F57">
        <w:tc>
          <w:tcPr>
            <w:tcW w:w="1242" w:type="dxa"/>
          </w:tcPr>
          <w:p w:rsidR="00C043EC" w:rsidRDefault="00C043EC" w:rsidP="00C11C9E">
            <w:pPr>
              <w:jc w:val="both"/>
              <w:rPr>
                <w:rFonts w:ascii="Arial" w:hAnsi="Arial" w:cs="Arial"/>
                <w:sz w:val="16"/>
                <w:szCs w:val="16"/>
              </w:rPr>
            </w:pPr>
          </w:p>
          <w:p w:rsidR="0045504C" w:rsidRDefault="00975F97" w:rsidP="00C11C9E">
            <w:pPr>
              <w:jc w:val="both"/>
              <w:rPr>
                <w:rFonts w:ascii="Arial" w:hAnsi="Arial" w:cs="Arial"/>
                <w:sz w:val="16"/>
                <w:szCs w:val="16"/>
              </w:rPr>
            </w:pPr>
            <w:r>
              <w:rPr>
                <w:rFonts w:ascii="Arial" w:hAnsi="Arial" w:cs="Arial"/>
                <w:sz w:val="16"/>
                <w:szCs w:val="16"/>
              </w:rPr>
              <w:t>Fosfato de fludarabina</w:t>
            </w:r>
          </w:p>
          <w:p w:rsidR="00C043EC" w:rsidRDefault="00C043EC" w:rsidP="00C11C9E">
            <w:pPr>
              <w:jc w:val="both"/>
              <w:rPr>
                <w:rFonts w:ascii="Arial" w:hAnsi="Arial" w:cs="Arial"/>
                <w:sz w:val="16"/>
                <w:szCs w:val="16"/>
              </w:rPr>
            </w:pPr>
            <w:r>
              <w:rPr>
                <w:rFonts w:ascii="Arial" w:hAnsi="Arial" w:cs="Arial"/>
                <w:sz w:val="16"/>
                <w:szCs w:val="16"/>
              </w:rPr>
              <w:t>(fludara, Beneflur)</w:t>
            </w:r>
          </w:p>
          <w:p w:rsidR="00C043EC" w:rsidRDefault="00C043EC" w:rsidP="00C11C9E">
            <w:pPr>
              <w:jc w:val="both"/>
              <w:rPr>
                <w:rFonts w:ascii="Arial" w:hAnsi="Arial" w:cs="Arial"/>
                <w:sz w:val="16"/>
                <w:szCs w:val="16"/>
              </w:rPr>
            </w:pPr>
          </w:p>
          <w:p w:rsidR="00C043EC" w:rsidRPr="00035BF7" w:rsidRDefault="00C043EC" w:rsidP="00C11C9E">
            <w:pPr>
              <w:jc w:val="both"/>
              <w:rPr>
                <w:rFonts w:ascii="Arial" w:hAnsi="Arial" w:cs="Arial"/>
                <w:sz w:val="16"/>
                <w:szCs w:val="16"/>
              </w:rPr>
            </w:pPr>
          </w:p>
        </w:tc>
        <w:tc>
          <w:tcPr>
            <w:tcW w:w="1418" w:type="dxa"/>
          </w:tcPr>
          <w:p w:rsidR="00C043EC" w:rsidRDefault="00C043EC" w:rsidP="00C11C9E">
            <w:pPr>
              <w:jc w:val="both"/>
              <w:rPr>
                <w:rFonts w:ascii="Arial" w:hAnsi="Arial" w:cs="Arial"/>
                <w:sz w:val="16"/>
                <w:szCs w:val="16"/>
              </w:rPr>
            </w:pPr>
          </w:p>
          <w:p w:rsidR="0045504C" w:rsidRPr="00035BF7" w:rsidRDefault="00975F97" w:rsidP="00C11C9E">
            <w:pPr>
              <w:jc w:val="both"/>
              <w:rPr>
                <w:rFonts w:ascii="Arial" w:hAnsi="Arial" w:cs="Arial"/>
                <w:sz w:val="16"/>
                <w:szCs w:val="16"/>
              </w:rPr>
            </w:pPr>
            <w:r>
              <w:rPr>
                <w:rFonts w:ascii="Arial" w:hAnsi="Arial" w:cs="Arial"/>
                <w:sz w:val="16"/>
                <w:szCs w:val="16"/>
              </w:rPr>
              <w:t xml:space="preserve">Antimetabolito </w:t>
            </w:r>
          </w:p>
        </w:tc>
        <w:tc>
          <w:tcPr>
            <w:tcW w:w="850" w:type="dxa"/>
          </w:tcPr>
          <w:p w:rsidR="00C043EC" w:rsidRDefault="00C043EC" w:rsidP="00C11C9E">
            <w:pPr>
              <w:jc w:val="both"/>
              <w:rPr>
                <w:rFonts w:ascii="Arial" w:hAnsi="Arial" w:cs="Arial"/>
                <w:sz w:val="16"/>
                <w:szCs w:val="16"/>
              </w:rPr>
            </w:pPr>
          </w:p>
          <w:p w:rsidR="0045504C" w:rsidRPr="00035BF7" w:rsidRDefault="00C043EC" w:rsidP="00C11C9E">
            <w:pPr>
              <w:jc w:val="both"/>
              <w:rPr>
                <w:rFonts w:ascii="Arial" w:hAnsi="Arial" w:cs="Arial"/>
                <w:sz w:val="16"/>
                <w:szCs w:val="16"/>
              </w:rPr>
            </w:pPr>
            <w:r>
              <w:rPr>
                <w:rFonts w:ascii="Arial" w:hAnsi="Arial" w:cs="Arial"/>
                <w:sz w:val="16"/>
                <w:szCs w:val="16"/>
              </w:rPr>
              <w:t>IV</w:t>
            </w:r>
          </w:p>
        </w:tc>
        <w:tc>
          <w:tcPr>
            <w:tcW w:w="2383" w:type="dxa"/>
          </w:tcPr>
          <w:p w:rsidR="00C043EC" w:rsidRDefault="00C043EC" w:rsidP="00C11C9E">
            <w:pPr>
              <w:jc w:val="both"/>
              <w:rPr>
                <w:rFonts w:ascii="Arial" w:hAnsi="Arial" w:cs="Arial"/>
                <w:sz w:val="16"/>
                <w:szCs w:val="16"/>
              </w:rPr>
            </w:pPr>
          </w:p>
          <w:p w:rsidR="0045504C" w:rsidRDefault="00C043EC" w:rsidP="00C11C9E">
            <w:pPr>
              <w:jc w:val="both"/>
              <w:rPr>
                <w:rFonts w:ascii="Arial" w:hAnsi="Arial" w:cs="Arial"/>
                <w:sz w:val="16"/>
                <w:szCs w:val="16"/>
              </w:rPr>
            </w:pPr>
            <w:r>
              <w:rPr>
                <w:rFonts w:ascii="Arial" w:hAnsi="Arial" w:cs="Arial"/>
                <w:sz w:val="16"/>
                <w:szCs w:val="16"/>
              </w:rPr>
              <w:t xml:space="preserve">Frecuentes: nauseas, vómitos, fiebre, hiperuricemia ( durante la terapia inicial), mielosupresión </w:t>
            </w:r>
          </w:p>
          <w:p w:rsidR="00C043EC" w:rsidRDefault="00C043EC" w:rsidP="00C11C9E">
            <w:pPr>
              <w:jc w:val="both"/>
              <w:rPr>
                <w:rFonts w:ascii="Arial" w:hAnsi="Arial" w:cs="Arial"/>
                <w:sz w:val="16"/>
                <w:szCs w:val="16"/>
              </w:rPr>
            </w:pPr>
            <w:r>
              <w:rPr>
                <w:rFonts w:ascii="Arial" w:hAnsi="Arial" w:cs="Arial"/>
                <w:sz w:val="16"/>
                <w:szCs w:val="16"/>
              </w:rPr>
              <w:t>Ocasionales: escalofríos, fatiga, diarrea, estomatitis nuerotoxicidad (puede aparecer de forma tardía)</w:t>
            </w:r>
          </w:p>
          <w:p w:rsidR="00C043EC" w:rsidRPr="00035BF7" w:rsidRDefault="00C043EC" w:rsidP="00C11C9E">
            <w:pPr>
              <w:jc w:val="both"/>
              <w:rPr>
                <w:rFonts w:ascii="Arial" w:hAnsi="Arial" w:cs="Arial"/>
                <w:sz w:val="16"/>
                <w:szCs w:val="16"/>
              </w:rPr>
            </w:pPr>
            <w:r>
              <w:rPr>
                <w:rFonts w:ascii="Arial" w:hAnsi="Arial" w:cs="Arial"/>
                <w:sz w:val="16"/>
                <w:szCs w:val="16"/>
              </w:rPr>
              <w:t xml:space="preserve">Raros: erupción, elevación pasajera en las pruebas de la función hepáticas, disnea, tos, infiltración intersticial pulmonar, toxicidad neurológica progresiva severa </w:t>
            </w:r>
          </w:p>
        </w:tc>
        <w:tc>
          <w:tcPr>
            <w:tcW w:w="1706" w:type="dxa"/>
          </w:tcPr>
          <w:p w:rsidR="0045504C" w:rsidRDefault="0045504C" w:rsidP="00C11C9E">
            <w:pPr>
              <w:jc w:val="both"/>
              <w:rPr>
                <w:rFonts w:ascii="Arial" w:hAnsi="Arial" w:cs="Arial"/>
                <w:sz w:val="16"/>
                <w:szCs w:val="16"/>
              </w:rPr>
            </w:pPr>
          </w:p>
          <w:p w:rsidR="00CF5EF5" w:rsidRDefault="00C043EC" w:rsidP="00C11C9E">
            <w:pPr>
              <w:jc w:val="both"/>
              <w:rPr>
                <w:rFonts w:ascii="Arial" w:hAnsi="Arial" w:cs="Arial"/>
                <w:sz w:val="16"/>
                <w:szCs w:val="16"/>
              </w:rPr>
            </w:pPr>
            <w:r>
              <w:rPr>
                <w:rFonts w:ascii="Arial" w:hAnsi="Arial" w:cs="Arial"/>
                <w:sz w:val="16"/>
                <w:szCs w:val="16"/>
              </w:rPr>
              <w:t xml:space="preserve">La toxicidad aumenta con la edad, deterioro </w:t>
            </w:r>
            <w:r w:rsidR="00CF5EF5">
              <w:rPr>
                <w:rFonts w:ascii="Arial" w:hAnsi="Arial" w:cs="Arial"/>
                <w:sz w:val="16"/>
                <w:szCs w:val="16"/>
              </w:rPr>
              <w:t>de la función renal y deterioro de la función de la medula ósea</w:t>
            </w:r>
          </w:p>
          <w:p w:rsidR="00CF5EF5" w:rsidRDefault="00CF5EF5" w:rsidP="00C11C9E">
            <w:pPr>
              <w:jc w:val="both"/>
              <w:rPr>
                <w:rFonts w:ascii="Arial" w:hAnsi="Arial" w:cs="Arial"/>
                <w:sz w:val="16"/>
                <w:szCs w:val="16"/>
              </w:rPr>
            </w:pPr>
            <w:r>
              <w:rPr>
                <w:rFonts w:ascii="Arial" w:hAnsi="Arial" w:cs="Arial"/>
                <w:sz w:val="16"/>
                <w:szCs w:val="16"/>
              </w:rPr>
              <w:t>El uso concomitante de la pentostatina aumenta significativamente el riesgo de toxicidad pulmonar severa</w:t>
            </w:r>
          </w:p>
          <w:p w:rsidR="00CF5EF5" w:rsidRDefault="00CF5EF5" w:rsidP="00C11C9E">
            <w:pPr>
              <w:jc w:val="both"/>
              <w:rPr>
                <w:rFonts w:ascii="Arial" w:hAnsi="Arial" w:cs="Arial"/>
                <w:sz w:val="16"/>
                <w:szCs w:val="16"/>
              </w:rPr>
            </w:pPr>
            <w:r>
              <w:rPr>
                <w:rFonts w:ascii="Arial" w:hAnsi="Arial" w:cs="Arial"/>
                <w:sz w:val="16"/>
                <w:szCs w:val="16"/>
              </w:rPr>
              <w:t>El alopurinol debe administrarse como profilaxis en pacientes con una carga tumoral significativa</w:t>
            </w:r>
          </w:p>
          <w:p w:rsidR="00C043EC" w:rsidRPr="00035BF7" w:rsidRDefault="00CF5EF5" w:rsidP="00C11C9E">
            <w:pPr>
              <w:jc w:val="both"/>
              <w:rPr>
                <w:rFonts w:ascii="Arial" w:hAnsi="Arial" w:cs="Arial"/>
                <w:sz w:val="16"/>
                <w:szCs w:val="16"/>
              </w:rPr>
            </w:pPr>
            <w:r>
              <w:rPr>
                <w:rFonts w:ascii="Arial" w:hAnsi="Arial" w:cs="Arial"/>
                <w:sz w:val="16"/>
                <w:szCs w:val="16"/>
              </w:rPr>
              <w:t xml:space="preserve"> </w:t>
            </w:r>
          </w:p>
        </w:tc>
        <w:tc>
          <w:tcPr>
            <w:tcW w:w="5550" w:type="dxa"/>
          </w:tcPr>
          <w:p w:rsidR="0045504C" w:rsidRDefault="0045504C" w:rsidP="00C11C9E">
            <w:pPr>
              <w:jc w:val="both"/>
              <w:rPr>
                <w:rFonts w:ascii="Arial" w:hAnsi="Arial" w:cs="Arial"/>
                <w:sz w:val="16"/>
                <w:szCs w:val="16"/>
              </w:rPr>
            </w:pPr>
          </w:p>
          <w:p w:rsidR="00CF5EF5" w:rsidRPr="00035BF7" w:rsidRDefault="00CF5EF5" w:rsidP="00C11C9E">
            <w:pPr>
              <w:jc w:val="both"/>
              <w:rPr>
                <w:rFonts w:ascii="Arial" w:hAnsi="Arial" w:cs="Arial"/>
                <w:sz w:val="16"/>
                <w:szCs w:val="16"/>
              </w:rPr>
            </w:pPr>
            <w:r>
              <w:rPr>
                <w:rFonts w:ascii="Arial" w:hAnsi="Arial" w:cs="Arial"/>
                <w:sz w:val="16"/>
                <w:szCs w:val="16"/>
              </w:rPr>
              <w:t>Monitorear la función pulmonar periódicamente durante el seguimiento</w:t>
            </w:r>
          </w:p>
        </w:tc>
      </w:tr>
    </w:tbl>
    <w:p w:rsidR="0045504C" w:rsidRDefault="0045504C" w:rsidP="0045504C">
      <w:pPr>
        <w:jc w:val="both"/>
        <w:rPr>
          <w:rFonts w:ascii="Arial" w:hAnsi="Arial" w:cs="Arial"/>
          <w:sz w:val="24"/>
          <w:szCs w:val="24"/>
        </w:rPr>
      </w:pPr>
    </w:p>
    <w:p w:rsidR="00810425" w:rsidRDefault="00810425" w:rsidP="005F5495">
      <w:pPr>
        <w:jc w:val="both"/>
        <w:rPr>
          <w:rFonts w:ascii="Arial" w:hAnsi="Arial" w:cs="Arial"/>
          <w:sz w:val="24"/>
          <w:szCs w:val="24"/>
        </w:rPr>
      </w:pPr>
    </w:p>
    <w:p w:rsidR="00810425" w:rsidRDefault="00810425" w:rsidP="00810425">
      <w:pPr>
        <w:jc w:val="both"/>
        <w:rPr>
          <w:rFonts w:ascii="Arial" w:hAnsi="Arial" w:cs="Arial"/>
          <w:sz w:val="24"/>
          <w:szCs w:val="24"/>
        </w:rPr>
      </w:pPr>
      <w:r>
        <w:rPr>
          <w:rFonts w:ascii="Arial" w:hAnsi="Arial" w:cs="Arial"/>
          <w:sz w:val="24"/>
          <w:szCs w:val="24"/>
        </w:rPr>
        <w:lastRenderedPageBreak/>
        <w:t>Tabla 1 Agentes quimioterapéuticos</w:t>
      </w:r>
    </w:p>
    <w:p w:rsidR="005F5495" w:rsidRDefault="005F5495" w:rsidP="0045504C">
      <w:pPr>
        <w:jc w:val="both"/>
        <w:rPr>
          <w:rFonts w:ascii="Arial" w:hAnsi="Arial" w:cs="Arial"/>
          <w:sz w:val="24"/>
          <w:szCs w:val="24"/>
        </w:rPr>
      </w:pPr>
    </w:p>
    <w:p w:rsidR="005F5495" w:rsidRDefault="005F5495" w:rsidP="0045504C">
      <w:pPr>
        <w:jc w:val="both"/>
        <w:rPr>
          <w:rFonts w:ascii="Arial" w:hAnsi="Arial" w:cs="Arial"/>
          <w:sz w:val="24"/>
          <w:szCs w:val="24"/>
        </w:rPr>
      </w:pPr>
    </w:p>
    <w:tbl>
      <w:tblPr>
        <w:tblStyle w:val="Tablaconcuadrcula"/>
        <w:tblW w:w="0" w:type="auto"/>
        <w:tblLayout w:type="fixed"/>
        <w:tblLook w:val="04A0" w:firstRow="1" w:lastRow="0" w:firstColumn="1" w:lastColumn="0" w:noHBand="0" w:noVBand="1"/>
      </w:tblPr>
      <w:tblGrid>
        <w:gridCol w:w="1242"/>
        <w:gridCol w:w="1418"/>
        <w:gridCol w:w="850"/>
        <w:gridCol w:w="2383"/>
        <w:gridCol w:w="1706"/>
        <w:gridCol w:w="5550"/>
      </w:tblGrid>
      <w:tr w:rsidR="0045504C" w:rsidTr="00CF5EF5">
        <w:tc>
          <w:tcPr>
            <w:tcW w:w="1242" w:type="dxa"/>
          </w:tcPr>
          <w:p w:rsidR="0045504C" w:rsidRPr="0028732A" w:rsidRDefault="0045504C" w:rsidP="00C11C9E">
            <w:pPr>
              <w:jc w:val="both"/>
              <w:rPr>
                <w:rFonts w:ascii="Arial" w:hAnsi="Arial" w:cs="Arial"/>
                <w:sz w:val="20"/>
                <w:szCs w:val="20"/>
              </w:rPr>
            </w:pPr>
            <w:r w:rsidRPr="0028732A">
              <w:rPr>
                <w:rFonts w:ascii="Arial" w:hAnsi="Arial" w:cs="Arial"/>
                <w:sz w:val="20"/>
                <w:szCs w:val="20"/>
              </w:rPr>
              <w:t>fármaco</w:t>
            </w:r>
          </w:p>
        </w:tc>
        <w:tc>
          <w:tcPr>
            <w:tcW w:w="1418" w:type="dxa"/>
          </w:tcPr>
          <w:p w:rsidR="0045504C" w:rsidRPr="0028732A" w:rsidRDefault="0045504C" w:rsidP="00C11C9E">
            <w:pPr>
              <w:jc w:val="both"/>
              <w:rPr>
                <w:rFonts w:ascii="Arial" w:hAnsi="Arial" w:cs="Arial"/>
                <w:sz w:val="20"/>
                <w:szCs w:val="20"/>
              </w:rPr>
            </w:pPr>
            <w:r w:rsidRPr="0028732A">
              <w:rPr>
                <w:rFonts w:ascii="Arial" w:hAnsi="Arial" w:cs="Arial"/>
                <w:sz w:val="20"/>
                <w:szCs w:val="20"/>
              </w:rPr>
              <w:t xml:space="preserve">Clasificación </w:t>
            </w:r>
          </w:p>
        </w:tc>
        <w:tc>
          <w:tcPr>
            <w:tcW w:w="850" w:type="dxa"/>
          </w:tcPr>
          <w:p w:rsidR="0045504C" w:rsidRPr="0028732A" w:rsidRDefault="0045504C" w:rsidP="00C11C9E">
            <w:pPr>
              <w:jc w:val="both"/>
              <w:rPr>
                <w:rFonts w:ascii="Arial" w:hAnsi="Arial" w:cs="Arial"/>
                <w:sz w:val="20"/>
                <w:szCs w:val="20"/>
              </w:rPr>
            </w:pPr>
            <w:r w:rsidRPr="0028732A">
              <w:rPr>
                <w:rFonts w:ascii="Arial" w:hAnsi="Arial" w:cs="Arial"/>
                <w:sz w:val="20"/>
                <w:szCs w:val="20"/>
              </w:rPr>
              <w:t xml:space="preserve">Vía de </w:t>
            </w:r>
            <w:r>
              <w:rPr>
                <w:rFonts w:ascii="Arial" w:hAnsi="Arial" w:cs="Arial"/>
                <w:sz w:val="20"/>
                <w:szCs w:val="20"/>
              </w:rPr>
              <w:t>adm.</w:t>
            </w:r>
            <w:r w:rsidRPr="0028732A">
              <w:rPr>
                <w:rFonts w:ascii="Arial" w:hAnsi="Arial" w:cs="Arial"/>
                <w:sz w:val="20"/>
                <w:szCs w:val="20"/>
              </w:rPr>
              <w:t xml:space="preserve"> </w:t>
            </w:r>
          </w:p>
        </w:tc>
        <w:tc>
          <w:tcPr>
            <w:tcW w:w="2383" w:type="dxa"/>
          </w:tcPr>
          <w:p w:rsidR="0045504C" w:rsidRPr="0028732A" w:rsidRDefault="0045504C" w:rsidP="00C11C9E">
            <w:pPr>
              <w:jc w:val="both"/>
              <w:rPr>
                <w:rFonts w:ascii="Arial" w:hAnsi="Arial" w:cs="Arial"/>
                <w:sz w:val="20"/>
                <w:szCs w:val="20"/>
              </w:rPr>
            </w:pPr>
            <w:r w:rsidRPr="0028732A">
              <w:rPr>
                <w:rFonts w:ascii="Arial" w:hAnsi="Arial" w:cs="Arial"/>
                <w:sz w:val="20"/>
                <w:szCs w:val="20"/>
              </w:rPr>
              <w:t>Efectos secundarios</w:t>
            </w:r>
          </w:p>
        </w:tc>
        <w:tc>
          <w:tcPr>
            <w:tcW w:w="1706" w:type="dxa"/>
          </w:tcPr>
          <w:p w:rsidR="0045504C" w:rsidRPr="0028732A" w:rsidRDefault="0045504C" w:rsidP="00C11C9E">
            <w:pPr>
              <w:jc w:val="both"/>
              <w:rPr>
                <w:rFonts w:ascii="Arial" w:hAnsi="Arial" w:cs="Arial"/>
                <w:sz w:val="20"/>
                <w:szCs w:val="20"/>
              </w:rPr>
            </w:pPr>
            <w:r w:rsidRPr="0028732A">
              <w:rPr>
                <w:rFonts w:ascii="Arial" w:hAnsi="Arial" w:cs="Arial"/>
                <w:sz w:val="20"/>
                <w:szCs w:val="20"/>
              </w:rPr>
              <w:t>Consideraciones especiales</w:t>
            </w:r>
          </w:p>
        </w:tc>
        <w:tc>
          <w:tcPr>
            <w:tcW w:w="5550" w:type="dxa"/>
          </w:tcPr>
          <w:p w:rsidR="0045504C" w:rsidRPr="0028732A" w:rsidRDefault="0045504C" w:rsidP="00C11C9E">
            <w:pPr>
              <w:jc w:val="both"/>
              <w:rPr>
                <w:rFonts w:ascii="Arial" w:hAnsi="Arial" w:cs="Arial"/>
                <w:sz w:val="20"/>
                <w:szCs w:val="20"/>
              </w:rPr>
            </w:pPr>
            <w:r w:rsidRPr="0028732A">
              <w:rPr>
                <w:rFonts w:ascii="Arial" w:hAnsi="Arial" w:cs="Arial"/>
                <w:sz w:val="20"/>
                <w:szCs w:val="20"/>
              </w:rPr>
              <w:t>Acciones de enfermería</w:t>
            </w:r>
          </w:p>
        </w:tc>
      </w:tr>
      <w:tr w:rsidR="0045504C" w:rsidTr="00CF5EF5">
        <w:tc>
          <w:tcPr>
            <w:tcW w:w="1242" w:type="dxa"/>
          </w:tcPr>
          <w:p w:rsidR="0045504C" w:rsidRDefault="0045504C" w:rsidP="00C11C9E">
            <w:pPr>
              <w:jc w:val="both"/>
              <w:rPr>
                <w:rFonts w:ascii="Arial" w:hAnsi="Arial" w:cs="Arial"/>
                <w:sz w:val="16"/>
                <w:szCs w:val="16"/>
              </w:rPr>
            </w:pPr>
          </w:p>
          <w:p w:rsidR="00CF5EF5" w:rsidRDefault="00CF5EF5" w:rsidP="00C11C9E">
            <w:pPr>
              <w:jc w:val="both"/>
              <w:rPr>
                <w:rFonts w:ascii="Arial" w:hAnsi="Arial" w:cs="Arial"/>
                <w:sz w:val="16"/>
                <w:szCs w:val="16"/>
              </w:rPr>
            </w:pPr>
            <w:r>
              <w:rPr>
                <w:rFonts w:ascii="Arial" w:hAnsi="Arial" w:cs="Arial"/>
                <w:sz w:val="16"/>
                <w:szCs w:val="16"/>
              </w:rPr>
              <w:t>Fluorouracilo</w:t>
            </w:r>
          </w:p>
          <w:p w:rsidR="00CF5EF5" w:rsidRPr="00035BF7" w:rsidRDefault="00CF5EF5" w:rsidP="00C11C9E">
            <w:pPr>
              <w:jc w:val="both"/>
              <w:rPr>
                <w:rFonts w:ascii="Arial" w:hAnsi="Arial" w:cs="Arial"/>
                <w:sz w:val="16"/>
                <w:szCs w:val="16"/>
              </w:rPr>
            </w:pPr>
            <w:r>
              <w:rPr>
                <w:rFonts w:ascii="Arial" w:hAnsi="Arial" w:cs="Arial"/>
                <w:sz w:val="16"/>
                <w:szCs w:val="16"/>
              </w:rPr>
              <w:t>(Adrucil, Carac, Eludex, Fluoroplex)</w:t>
            </w:r>
          </w:p>
        </w:tc>
        <w:tc>
          <w:tcPr>
            <w:tcW w:w="1418" w:type="dxa"/>
          </w:tcPr>
          <w:p w:rsidR="0045504C" w:rsidRDefault="0045504C" w:rsidP="00C11C9E">
            <w:pPr>
              <w:jc w:val="both"/>
              <w:rPr>
                <w:rFonts w:ascii="Arial" w:hAnsi="Arial" w:cs="Arial"/>
                <w:sz w:val="16"/>
                <w:szCs w:val="16"/>
              </w:rPr>
            </w:pPr>
          </w:p>
          <w:p w:rsidR="00CF5EF5" w:rsidRPr="00035BF7" w:rsidRDefault="00810425" w:rsidP="00C11C9E">
            <w:pPr>
              <w:jc w:val="both"/>
              <w:rPr>
                <w:rFonts w:ascii="Arial" w:hAnsi="Arial" w:cs="Arial"/>
                <w:sz w:val="16"/>
                <w:szCs w:val="16"/>
              </w:rPr>
            </w:pPr>
            <w:r>
              <w:rPr>
                <w:rFonts w:ascii="Arial" w:hAnsi="Arial" w:cs="Arial"/>
                <w:sz w:val="16"/>
                <w:szCs w:val="16"/>
              </w:rPr>
              <w:t>Antimetabolito</w:t>
            </w:r>
          </w:p>
        </w:tc>
        <w:tc>
          <w:tcPr>
            <w:tcW w:w="850" w:type="dxa"/>
          </w:tcPr>
          <w:p w:rsidR="0045504C" w:rsidRDefault="0045504C" w:rsidP="00C11C9E">
            <w:pPr>
              <w:jc w:val="both"/>
              <w:rPr>
                <w:rFonts w:ascii="Arial" w:hAnsi="Arial" w:cs="Arial"/>
                <w:sz w:val="16"/>
                <w:szCs w:val="16"/>
              </w:rPr>
            </w:pPr>
          </w:p>
          <w:p w:rsidR="00CF5EF5" w:rsidRDefault="00CF5EF5" w:rsidP="00C11C9E">
            <w:pPr>
              <w:jc w:val="both"/>
              <w:rPr>
                <w:rFonts w:ascii="Arial" w:hAnsi="Arial" w:cs="Arial"/>
                <w:sz w:val="16"/>
                <w:szCs w:val="16"/>
              </w:rPr>
            </w:pPr>
            <w:r>
              <w:rPr>
                <w:rFonts w:ascii="Arial" w:hAnsi="Arial" w:cs="Arial"/>
                <w:sz w:val="16"/>
                <w:szCs w:val="16"/>
              </w:rPr>
              <w:t xml:space="preserve">VI </w:t>
            </w:r>
          </w:p>
          <w:p w:rsidR="00CF5EF5" w:rsidRPr="00035BF7" w:rsidRDefault="00CF5EF5" w:rsidP="00C11C9E">
            <w:pPr>
              <w:jc w:val="both"/>
              <w:rPr>
                <w:rFonts w:ascii="Arial" w:hAnsi="Arial" w:cs="Arial"/>
                <w:sz w:val="16"/>
                <w:szCs w:val="16"/>
              </w:rPr>
            </w:pPr>
            <w:r>
              <w:rPr>
                <w:rFonts w:ascii="Arial" w:hAnsi="Arial" w:cs="Arial"/>
                <w:sz w:val="16"/>
                <w:szCs w:val="16"/>
              </w:rPr>
              <w:t>Oral</w:t>
            </w:r>
          </w:p>
        </w:tc>
        <w:tc>
          <w:tcPr>
            <w:tcW w:w="2383" w:type="dxa"/>
          </w:tcPr>
          <w:p w:rsidR="0045504C" w:rsidRDefault="0045504C" w:rsidP="00C11C9E">
            <w:pPr>
              <w:jc w:val="both"/>
              <w:rPr>
                <w:rFonts w:ascii="Arial" w:hAnsi="Arial" w:cs="Arial"/>
                <w:sz w:val="16"/>
                <w:szCs w:val="16"/>
              </w:rPr>
            </w:pPr>
          </w:p>
          <w:p w:rsidR="00CF5EF5" w:rsidRDefault="00E55F5D" w:rsidP="00C11C9E">
            <w:pPr>
              <w:jc w:val="both"/>
              <w:rPr>
                <w:rFonts w:ascii="Arial" w:hAnsi="Arial" w:cs="Arial"/>
                <w:sz w:val="16"/>
                <w:szCs w:val="16"/>
              </w:rPr>
            </w:pPr>
            <w:r>
              <w:rPr>
                <w:rFonts w:ascii="Arial" w:hAnsi="Arial" w:cs="Arial"/>
                <w:sz w:val="16"/>
                <w:szCs w:val="16"/>
              </w:rPr>
              <w:t>Frecuentes: náuseas, vó</w:t>
            </w:r>
            <w:r w:rsidR="00CF5EF5">
              <w:rPr>
                <w:rFonts w:ascii="Arial" w:hAnsi="Arial" w:cs="Arial"/>
                <w:sz w:val="16"/>
                <w:szCs w:val="16"/>
              </w:rPr>
              <w:t>mitos, gusto metálico, inmunosupresión, mielosupresión</w:t>
            </w:r>
          </w:p>
          <w:p w:rsidR="00E55F5D" w:rsidRDefault="00E55F5D" w:rsidP="00C11C9E">
            <w:pPr>
              <w:jc w:val="both"/>
              <w:rPr>
                <w:rFonts w:ascii="Arial" w:hAnsi="Arial" w:cs="Arial"/>
                <w:sz w:val="16"/>
                <w:szCs w:val="16"/>
              </w:rPr>
            </w:pPr>
            <w:r>
              <w:rPr>
                <w:rFonts w:ascii="Arial" w:hAnsi="Arial" w:cs="Arial"/>
                <w:sz w:val="16"/>
                <w:szCs w:val="16"/>
              </w:rPr>
              <w:t xml:space="preserve">Ocasionales: diarrea, estomatitis, sensibilidad al sol, hiperpigmentación, piel reseca, eritrodisestesia </w:t>
            </w:r>
            <w:r w:rsidR="00810425">
              <w:rPr>
                <w:rFonts w:ascii="Arial" w:hAnsi="Arial" w:cs="Arial"/>
                <w:sz w:val="16"/>
                <w:szCs w:val="16"/>
              </w:rPr>
              <w:t>palmo plantar</w:t>
            </w:r>
          </w:p>
          <w:p w:rsidR="0045504C" w:rsidRDefault="00E55F5D" w:rsidP="00C11C9E">
            <w:pPr>
              <w:jc w:val="both"/>
              <w:rPr>
                <w:rFonts w:ascii="Arial" w:hAnsi="Arial" w:cs="Arial"/>
                <w:sz w:val="16"/>
                <w:szCs w:val="16"/>
              </w:rPr>
            </w:pPr>
            <w:r>
              <w:rPr>
                <w:rFonts w:ascii="Arial" w:hAnsi="Arial" w:cs="Arial"/>
                <w:sz w:val="16"/>
                <w:szCs w:val="16"/>
              </w:rPr>
              <w:t>Raros: hipotensión, angina, cambios del ECG, lagrimeo, pérdida parcial de uñas, dolor de cabeza, molestias visuales, ataxia cerebelosa, proctitis</w:t>
            </w:r>
          </w:p>
          <w:p w:rsidR="0045504C" w:rsidRPr="00035BF7" w:rsidRDefault="0045504C" w:rsidP="00C11C9E">
            <w:pPr>
              <w:jc w:val="both"/>
              <w:rPr>
                <w:rFonts w:ascii="Arial" w:hAnsi="Arial" w:cs="Arial"/>
                <w:sz w:val="16"/>
                <w:szCs w:val="16"/>
              </w:rPr>
            </w:pPr>
          </w:p>
        </w:tc>
        <w:tc>
          <w:tcPr>
            <w:tcW w:w="1706" w:type="dxa"/>
          </w:tcPr>
          <w:p w:rsidR="0045504C" w:rsidRPr="00035BF7" w:rsidRDefault="0045504C" w:rsidP="00C11C9E">
            <w:pPr>
              <w:jc w:val="both"/>
              <w:rPr>
                <w:rFonts w:ascii="Arial" w:hAnsi="Arial" w:cs="Arial"/>
                <w:sz w:val="16"/>
                <w:szCs w:val="16"/>
              </w:rPr>
            </w:pPr>
          </w:p>
        </w:tc>
        <w:tc>
          <w:tcPr>
            <w:tcW w:w="5550" w:type="dxa"/>
          </w:tcPr>
          <w:p w:rsidR="0045504C" w:rsidRDefault="0045504C" w:rsidP="00C11C9E">
            <w:pPr>
              <w:jc w:val="both"/>
              <w:rPr>
                <w:rFonts w:ascii="Arial" w:hAnsi="Arial" w:cs="Arial"/>
                <w:sz w:val="16"/>
                <w:szCs w:val="16"/>
              </w:rPr>
            </w:pPr>
          </w:p>
          <w:p w:rsidR="00E55F5D" w:rsidRDefault="00E55F5D" w:rsidP="00C11C9E">
            <w:pPr>
              <w:jc w:val="both"/>
              <w:rPr>
                <w:rFonts w:ascii="Arial" w:hAnsi="Arial" w:cs="Arial"/>
                <w:sz w:val="16"/>
                <w:szCs w:val="16"/>
              </w:rPr>
            </w:pPr>
            <w:r>
              <w:rPr>
                <w:rFonts w:ascii="Arial" w:hAnsi="Arial" w:cs="Arial"/>
                <w:sz w:val="16"/>
                <w:szCs w:val="16"/>
              </w:rPr>
              <w:t>Para administración oral, mezclar solución parenteral de 5- FU con agua con sabor o refresco carbonatado, evitar el jugo de frutas ácidas</w:t>
            </w:r>
          </w:p>
          <w:p w:rsidR="00E55F5D" w:rsidRDefault="00E55F5D" w:rsidP="00C11C9E">
            <w:pPr>
              <w:jc w:val="both"/>
              <w:rPr>
                <w:rFonts w:ascii="Arial" w:hAnsi="Arial" w:cs="Arial"/>
                <w:sz w:val="16"/>
                <w:szCs w:val="16"/>
              </w:rPr>
            </w:pPr>
          </w:p>
          <w:p w:rsidR="00E55F5D" w:rsidRPr="00035BF7" w:rsidRDefault="00E55F5D" w:rsidP="00C11C9E">
            <w:pPr>
              <w:jc w:val="both"/>
              <w:rPr>
                <w:rFonts w:ascii="Arial" w:hAnsi="Arial" w:cs="Arial"/>
                <w:sz w:val="16"/>
                <w:szCs w:val="16"/>
              </w:rPr>
            </w:pPr>
            <w:r>
              <w:rPr>
                <w:rFonts w:ascii="Arial" w:hAnsi="Arial" w:cs="Arial"/>
                <w:sz w:val="16"/>
                <w:szCs w:val="16"/>
              </w:rPr>
              <w:t>Administrar con el estómago vacío ( 1 hs antes o 2 hs después de las comidas)</w:t>
            </w:r>
          </w:p>
        </w:tc>
      </w:tr>
      <w:tr w:rsidR="0045504C" w:rsidTr="00CF5EF5">
        <w:tc>
          <w:tcPr>
            <w:tcW w:w="1242" w:type="dxa"/>
          </w:tcPr>
          <w:p w:rsidR="0045504C" w:rsidRDefault="0045504C" w:rsidP="00C11C9E">
            <w:pPr>
              <w:jc w:val="both"/>
              <w:rPr>
                <w:rFonts w:ascii="Arial" w:hAnsi="Arial" w:cs="Arial"/>
                <w:sz w:val="16"/>
                <w:szCs w:val="16"/>
              </w:rPr>
            </w:pPr>
          </w:p>
          <w:p w:rsidR="00E55F5D" w:rsidRDefault="00E55F5D" w:rsidP="00C11C9E">
            <w:pPr>
              <w:jc w:val="both"/>
              <w:rPr>
                <w:rFonts w:ascii="Arial" w:hAnsi="Arial" w:cs="Arial"/>
                <w:sz w:val="16"/>
                <w:szCs w:val="16"/>
              </w:rPr>
            </w:pPr>
            <w:r>
              <w:rPr>
                <w:rFonts w:ascii="Arial" w:hAnsi="Arial" w:cs="Arial"/>
                <w:sz w:val="16"/>
                <w:szCs w:val="16"/>
              </w:rPr>
              <w:t xml:space="preserve">Gencitabina </w:t>
            </w:r>
          </w:p>
          <w:p w:rsidR="00E55F5D" w:rsidRDefault="00810425" w:rsidP="00C11C9E">
            <w:pPr>
              <w:jc w:val="both"/>
              <w:rPr>
                <w:rFonts w:ascii="Arial" w:hAnsi="Arial" w:cs="Arial"/>
                <w:sz w:val="16"/>
                <w:szCs w:val="16"/>
              </w:rPr>
            </w:pPr>
            <w:r>
              <w:rPr>
                <w:rFonts w:ascii="Arial" w:hAnsi="Arial" w:cs="Arial"/>
                <w:sz w:val="16"/>
                <w:szCs w:val="16"/>
              </w:rPr>
              <w:t>(Gem</w:t>
            </w:r>
            <w:r w:rsidR="00E55F5D">
              <w:rPr>
                <w:rFonts w:ascii="Arial" w:hAnsi="Arial" w:cs="Arial"/>
                <w:sz w:val="16"/>
                <w:szCs w:val="16"/>
              </w:rPr>
              <w:t>zar)</w:t>
            </w:r>
          </w:p>
          <w:p w:rsidR="00E55F5D" w:rsidRDefault="00E55F5D" w:rsidP="00C11C9E">
            <w:pPr>
              <w:jc w:val="both"/>
              <w:rPr>
                <w:rFonts w:ascii="Arial" w:hAnsi="Arial" w:cs="Arial"/>
                <w:sz w:val="16"/>
                <w:szCs w:val="16"/>
              </w:rPr>
            </w:pPr>
          </w:p>
          <w:p w:rsidR="00E55F5D" w:rsidRDefault="00E55F5D" w:rsidP="00C11C9E">
            <w:pPr>
              <w:jc w:val="both"/>
              <w:rPr>
                <w:rFonts w:ascii="Arial" w:hAnsi="Arial" w:cs="Arial"/>
                <w:sz w:val="16"/>
                <w:szCs w:val="16"/>
              </w:rPr>
            </w:pPr>
          </w:p>
          <w:p w:rsidR="00E55F5D" w:rsidRDefault="00E55F5D" w:rsidP="00C11C9E">
            <w:pPr>
              <w:jc w:val="both"/>
              <w:rPr>
                <w:rFonts w:ascii="Arial" w:hAnsi="Arial" w:cs="Arial"/>
                <w:sz w:val="16"/>
                <w:szCs w:val="16"/>
              </w:rPr>
            </w:pPr>
          </w:p>
          <w:p w:rsidR="00E55F5D" w:rsidRDefault="00E55F5D" w:rsidP="00C11C9E">
            <w:pPr>
              <w:jc w:val="both"/>
              <w:rPr>
                <w:rFonts w:ascii="Arial" w:hAnsi="Arial" w:cs="Arial"/>
                <w:sz w:val="16"/>
                <w:szCs w:val="16"/>
              </w:rPr>
            </w:pPr>
          </w:p>
          <w:p w:rsidR="00E55F5D" w:rsidRDefault="00E55F5D" w:rsidP="00C11C9E">
            <w:pPr>
              <w:jc w:val="both"/>
              <w:rPr>
                <w:rFonts w:ascii="Arial" w:hAnsi="Arial" w:cs="Arial"/>
                <w:sz w:val="16"/>
                <w:szCs w:val="16"/>
              </w:rPr>
            </w:pPr>
          </w:p>
          <w:p w:rsidR="00E55F5D" w:rsidRDefault="00E55F5D" w:rsidP="00C11C9E">
            <w:pPr>
              <w:jc w:val="both"/>
              <w:rPr>
                <w:rFonts w:ascii="Arial" w:hAnsi="Arial" w:cs="Arial"/>
                <w:sz w:val="16"/>
                <w:szCs w:val="16"/>
              </w:rPr>
            </w:pPr>
          </w:p>
          <w:p w:rsidR="00E55F5D" w:rsidRDefault="00E55F5D" w:rsidP="00C11C9E">
            <w:pPr>
              <w:jc w:val="both"/>
              <w:rPr>
                <w:rFonts w:ascii="Arial" w:hAnsi="Arial" w:cs="Arial"/>
                <w:sz w:val="16"/>
                <w:szCs w:val="16"/>
              </w:rPr>
            </w:pPr>
          </w:p>
          <w:p w:rsidR="00E55F5D" w:rsidRDefault="00E55F5D" w:rsidP="00C11C9E">
            <w:pPr>
              <w:jc w:val="both"/>
              <w:rPr>
                <w:rFonts w:ascii="Arial" w:hAnsi="Arial" w:cs="Arial"/>
                <w:sz w:val="16"/>
                <w:szCs w:val="16"/>
              </w:rPr>
            </w:pPr>
          </w:p>
          <w:p w:rsidR="00E55F5D" w:rsidRDefault="00E55F5D" w:rsidP="00C11C9E">
            <w:pPr>
              <w:jc w:val="both"/>
              <w:rPr>
                <w:rFonts w:ascii="Arial" w:hAnsi="Arial" w:cs="Arial"/>
                <w:sz w:val="16"/>
                <w:szCs w:val="16"/>
              </w:rPr>
            </w:pPr>
          </w:p>
          <w:p w:rsidR="00E55F5D" w:rsidRDefault="00E55F5D" w:rsidP="00C11C9E">
            <w:pPr>
              <w:jc w:val="both"/>
              <w:rPr>
                <w:rFonts w:ascii="Arial" w:hAnsi="Arial" w:cs="Arial"/>
                <w:sz w:val="16"/>
                <w:szCs w:val="16"/>
              </w:rPr>
            </w:pPr>
          </w:p>
          <w:p w:rsidR="00E55F5D" w:rsidRDefault="00E55F5D" w:rsidP="00C11C9E">
            <w:pPr>
              <w:jc w:val="both"/>
              <w:rPr>
                <w:rFonts w:ascii="Arial" w:hAnsi="Arial" w:cs="Arial"/>
                <w:sz w:val="16"/>
                <w:szCs w:val="16"/>
              </w:rPr>
            </w:pPr>
          </w:p>
          <w:p w:rsidR="00E55F5D" w:rsidRDefault="00E55F5D" w:rsidP="00C11C9E">
            <w:pPr>
              <w:jc w:val="both"/>
              <w:rPr>
                <w:rFonts w:ascii="Arial" w:hAnsi="Arial" w:cs="Arial"/>
                <w:sz w:val="16"/>
                <w:szCs w:val="16"/>
              </w:rPr>
            </w:pPr>
          </w:p>
          <w:p w:rsidR="00E55F5D" w:rsidRPr="00035BF7" w:rsidRDefault="00E55F5D" w:rsidP="00C11C9E">
            <w:pPr>
              <w:jc w:val="both"/>
              <w:rPr>
                <w:rFonts w:ascii="Arial" w:hAnsi="Arial" w:cs="Arial"/>
                <w:sz w:val="16"/>
                <w:szCs w:val="16"/>
              </w:rPr>
            </w:pPr>
          </w:p>
        </w:tc>
        <w:tc>
          <w:tcPr>
            <w:tcW w:w="1418" w:type="dxa"/>
          </w:tcPr>
          <w:p w:rsidR="002F3785" w:rsidRDefault="002F3785" w:rsidP="00C11C9E">
            <w:pPr>
              <w:jc w:val="both"/>
              <w:rPr>
                <w:rFonts w:ascii="Arial" w:hAnsi="Arial" w:cs="Arial"/>
                <w:sz w:val="16"/>
                <w:szCs w:val="16"/>
              </w:rPr>
            </w:pPr>
          </w:p>
          <w:p w:rsidR="0045504C" w:rsidRPr="00035BF7" w:rsidRDefault="00E55F5D" w:rsidP="00C11C9E">
            <w:pPr>
              <w:jc w:val="both"/>
              <w:rPr>
                <w:rFonts w:ascii="Arial" w:hAnsi="Arial" w:cs="Arial"/>
                <w:sz w:val="16"/>
                <w:szCs w:val="16"/>
              </w:rPr>
            </w:pPr>
            <w:r>
              <w:rPr>
                <w:rFonts w:ascii="Arial" w:hAnsi="Arial" w:cs="Arial"/>
                <w:sz w:val="16"/>
                <w:szCs w:val="16"/>
              </w:rPr>
              <w:t>Anti</w:t>
            </w:r>
            <w:r w:rsidR="002F3785">
              <w:rPr>
                <w:rFonts w:ascii="Arial" w:hAnsi="Arial" w:cs="Arial"/>
                <w:sz w:val="16"/>
                <w:szCs w:val="16"/>
              </w:rPr>
              <w:t>metabolito</w:t>
            </w:r>
          </w:p>
        </w:tc>
        <w:tc>
          <w:tcPr>
            <w:tcW w:w="850" w:type="dxa"/>
          </w:tcPr>
          <w:p w:rsidR="0045504C" w:rsidRDefault="0045504C" w:rsidP="00C11C9E">
            <w:pPr>
              <w:jc w:val="both"/>
              <w:rPr>
                <w:rFonts w:ascii="Arial" w:hAnsi="Arial" w:cs="Arial"/>
                <w:sz w:val="16"/>
                <w:szCs w:val="16"/>
              </w:rPr>
            </w:pPr>
          </w:p>
          <w:p w:rsidR="002F3785" w:rsidRPr="00035BF7" w:rsidRDefault="002F3785" w:rsidP="00C11C9E">
            <w:pPr>
              <w:jc w:val="both"/>
              <w:rPr>
                <w:rFonts w:ascii="Arial" w:hAnsi="Arial" w:cs="Arial"/>
                <w:sz w:val="16"/>
                <w:szCs w:val="16"/>
              </w:rPr>
            </w:pPr>
            <w:r>
              <w:rPr>
                <w:rFonts w:ascii="Arial" w:hAnsi="Arial" w:cs="Arial"/>
                <w:sz w:val="16"/>
                <w:szCs w:val="16"/>
              </w:rPr>
              <w:t>VI</w:t>
            </w:r>
          </w:p>
        </w:tc>
        <w:tc>
          <w:tcPr>
            <w:tcW w:w="2383" w:type="dxa"/>
          </w:tcPr>
          <w:p w:rsidR="0045504C" w:rsidRDefault="0045504C" w:rsidP="00C11C9E">
            <w:pPr>
              <w:jc w:val="both"/>
              <w:rPr>
                <w:rFonts w:ascii="Arial" w:hAnsi="Arial" w:cs="Arial"/>
                <w:sz w:val="16"/>
                <w:szCs w:val="16"/>
              </w:rPr>
            </w:pPr>
          </w:p>
          <w:p w:rsidR="002F3785" w:rsidRDefault="002F3785" w:rsidP="00C11C9E">
            <w:pPr>
              <w:jc w:val="both"/>
              <w:rPr>
                <w:rFonts w:ascii="Arial" w:hAnsi="Arial" w:cs="Arial"/>
                <w:sz w:val="16"/>
                <w:szCs w:val="16"/>
              </w:rPr>
            </w:pPr>
            <w:r>
              <w:rPr>
                <w:rFonts w:ascii="Arial" w:hAnsi="Arial" w:cs="Arial"/>
                <w:sz w:val="16"/>
                <w:szCs w:val="16"/>
              </w:rPr>
              <w:t>Frecuentes: dolor, fiebre, somnolencia, erupción, náuseas, vómitos, diarrea, estreñimiento, mielosupresión, toxicidad hepática, proteinuria, disnea, síntomas gripales</w:t>
            </w:r>
          </w:p>
          <w:p w:rsidR="002F3785" w:rsidRPr="00035BF7" w:rsidRDefault="002F3785" w:rsidP="00C11C9E">
            <w:pPr>
              <w:jc w:val="both"/>
              <w:rPr>
                <w:rFonts w:ascii="Arial" w:hAnsi="Arial" w:cs="Arial"/>
                <w:sz w:val="16"/>
                <w:szCs w:val="16"/>
              </w:rPr>
            </w:pPr>
            <w:r>
              <w:rPr>
                <w:rFonts w:ascii="Arial" w:hAnsi="Arial" w:cs="Arial"/>
                <w:sz w:val="16"/>
                <w:szCs w:val="16"/>
              </w:rPr>
              <w:t>Ocasionales, reacción del sitio de la inyección, parestesia, anafilaxis, síndrome urémico hemolítico, dolor de cabeza, c</w:t>
            </w:r>
            <w:r w:rsidR="00810425">
              <w:rPr>
                <w:rFonts w:ascii="Arial" w:hAnsi="Arial" w:cs="Arial"/>
                <w:sz w:val="16"/>
                <w:szCs w:val="16"/>
              </w:rPr>
              <w:t>onvulsiones, coma, edema pulmonar</w:t>
            </w:r>
          </w:p>
        </w:tc>
        <w:tc>
          <w:tcPr>
            <w:tcW w:w="1706" w:type="dxa"/>
          </w:tcPr>
          <w:p w:rsidR="0045504C" w:rsidRDefault="0045504C" w:rsidP="00C11C9E">
            <w:pPr>
              <w:jc w:val="both"/>
              <w:rPr>
                <w:rFonts w:ascii="Arial" w:hAnsi="Arial" w:cs="Arial"/>
                <w:sz w:val="16"/>
                <w:szCs w:val="16"/>
              </w:rPr>
            </w:pPr>
          </w:p>
          <w:p w:rsidR="002F3785" w:rsidRDefault="002F3785" w:rsidP="00C11C9E">
            <w:pPr>
              <w:jc w:val="both"/>
              <w:rPr>
                <w:rFonts w:ascii="Arial" w:hAnsi="Arial" w:cs="Arial"/>
                <w:sz w:val="16"/>
                <w:szCs w:val="16"/>
              </w:rPr>
            </w:pPr>
            <w:r>
              <w:rPr>
                <w:rFonts w:ascii="Arial" w:hAnsi="Arial" w:cs="Arial"/>
                <w:sz w:val="16"/>
                <w:szCs w:val="16"/>
              </w:rPr>
              <w:t>Administrar en &lt; 60 minutos</w:t>
            </w:r>
          </w:p>
          <w:p w:rsidR="002F3785" w:rsidRDefault="002F3785" w:rsidP="00C11C9E">
            <w:pPr>
              <w:jc w:val="both"/>
              <w:rPr>
                <w:rFonts w:ascii="Arial" w:hAnsi="Arial" w:cs="Arial"/>
                <w:sz w:val="16"/>
                <w:szCs w:val="16"/>
              </w:rPr>
            </w:pPr>
          </w:p>
          <w:p w:rsidR="002F3785" w:rsidRDefault="002F3785" w:rsidP="00C11C9E">
            <w:pPr>
              <w:jc w:val="both"/>
              <w:rPr>
                <w:rFonts w:ascii="Arial" w:hAnsi="Arial" w:cs="Arial"/>
                <w:sz w:val="16"/>
                <w:szCs w:val="16"/>
              </w:rPr>
            </w:pPr>
            <w:r>
              <w:rPr>
                <w:rFonts w:ascii="Arial" w:hAnsi="Arial" w:cs="Arial"/>
                <w:sz w:val="16"/>
                <w:szCs w:val="16"/>
              </w:rPr>
              <w:t>La propagación del</w:t>
            </w:r>
          </w:p>
          <w:p w:rsidR="002F3785" w:rsidRPr="00035BF7" w:rsidRDefault="002F3785" w:rsidP="00C11C9E">
            <w:pPr>
              <w:jc w:val="both"/>
              <w:rPr>
                <w:rFonts w:ascii="Arial" w:hAnsi="Arial" w:cs="Arial"/>
                <w:sz w:val="16"/>
                <w:szCs w:val="16"/>
              </w:rPr>
            </w:pPr>
            <w:r>
              <w:rPr>
                <w:rFonts w:ascii="Arial" w:hAnsi="Arial" w:cs="Arial"/>
                <w:sz w:val="16"/>
                <w:szCs w:val="16"/>
              </w:rPr>
              <w:t xml:space="preserve">Tiempo de infusión aumenta la toxicidad </w:t>
            </w:r>
          </w:p>
        </w:tc>
        <w:tc>
          <w:tcPr>
            <w:tcW w:w="5550" w:type="dxa"/>
          </w:tcPr>
          <w:p w:rsidR="0045504C" w:rsidRPr="00035BF7" w:rsidRDefault="0045504C" w:rsidP="00C11C9E">
            <w:pPr>
              <w:jc w:val="both"/>
              <w:rPr>
                <w:rFonts w:ascii="Arial" w:hAnsi="Arial" w:cs="Arial"/>
                <w:sz w:val="16"/>
                <w:szCs w:val="16"/>
              </w:rPr>
            </w:pPr>
          </w:p>
        </w:tc>
      </w:tr>
    </w:tbl>
    <w:p w:rsidR="00810425" w:rsidRDefault="00810425" w:rsidP="00810425">
      <w:pPr>
        <w:jc w:val="both"/>
        <w:rPr>
          <w:rFonts w:ascii="Arial" w:hAnsi="Arial" w:cs="Arial"/>
          <w:sz w:val="24"/>
          <w:szCs w:val="24"/>
        </w:rPr>
      </w:pPr>
    </w:p>
    <w:p w:rsidR="00810425" w:rsidRDefault="00810425" w:rsidP="00810425">
      <w:pPr>
        <w:jc w:val="both"/>
        <w:rPr>
          <w:rFonts w:ascii="Arial" w:hAnsi="Arial" w:cs="Arial"/>
          <w:sz w:val="24"/>
          <w:szCs w:val="24"/>
        </w:rPr>
      </w:pPr>
      <w:r>
        <w:rPr>
          <w:rFonts w:ascii="Arial" w:hAnsi="Arial" w:cs="Arial"/>
          <w:sz w:val="24"/>
          <w:szCs w:val="24"/>
        </w:rPr>
        <w:lastRenderedPageBreak/>
        <w:t>Tabla 1 Agentes quimioterapéuticos</w:t>
      </w:r>
    </w:p>
    <w:tbl>
      <w:tblPr>
        <w:tblStyle w:val="Tablaconcuadrcula"/>
        <w:tblW w:w="0" w:type="auto"/>
        <w:tblLook w:val="04A0" w:firstRow="1" w:lastRow="0" w:firstColumn="1" w:lastColumn="0" w:noHBand="0" w:noVBand="1"/>
      </w:tblPr>
      <w:tblGrid>
        <w:gridCol w:w="1242"/>
        <w:gridCol w:w="1418"/>
        <w:gridCol w:w="850"/>
        <w:gridCol w:w="2410"/>
        <w:gridCol w:w="1706"/>
        <w:gridCol w:w="5520"/>
      </w:tblGrid>
      <w:tr w:rsidR="00340A0C" w:rsidTr="00340A0C">
        <w:tc>
          <w:tcPr>
            <w:tcW w:w="1242" w:type="dxa"/>
          </w:tcPr>
          <w:p w:rsidR="00340A0C" w:rsidRPr="0028732A" w:rsidRDefault="00340A0C" w:rsidP="0079344B">
            <w:pPr>
              <w:jc w:val="both"/>
              <w:rPr>
                <w:rFonts w:ascii="Arial" w:hAnsi="Arial" w:cs="Arial"/>
                <w:sz w:val="20"/>
                <w:szCs w:val="20"/>
              </w:rPr>
            </w:pPr>
            <w:r w:rsidRPr="0028732A">
              <w:rPr>
                <w:rFonts w:ascii="Arial" w:hAnsi="Arial" w:cs="Arial"/>
                <w:sz w:val="20"/>
                <w:szCs w:val="20"/>
              </w:rPr>
              <w:t>fármaco</w:t>
            </w:r>
          </w:p>
        </w:tc>
        <w:tc>
          <w:tcPr>
            <w:tcW w:w="1418" w:type="dxa"/>
          </w:tcPr>
          <w:p w:rsidR="00340A0C" w:rsidRPr="0028732A" w:rsidRDefault="00340A0C" w:rsidP="0079344B">
            <w:pPr>
              <w:jc w:val="both"/>
              <w:rPr>
                <w:rFonts w:ascii="Arial" w:hAnsi="Arial" w:cs="Arial"/>
                <w:sz w:val="20"/>
                <w:szCs w:val="20"/>
              </w:rPr>
            </w:pPr>
            <w:r w:rsidRPr="0028732A">
              <w:rPr>
                <w:rFonts w:ascii="Arial" w:hAnsi="Arial" w:cs="Arial"/>
                <w:sz w:val="20"/>
                <w:szCs w:val="20"/>
              </w:rPr>
              <w:t xml:space="preserve">Clasificación </w:t>
            </w:r>
          </w:p>
        </w:tc>
        <w:tc>
          <w:tcPr>
            <w:tcW w:w="850" w:type="dxa"/>
          </w:tcPr>
          <w:p w:rsidR="00340A0C" w:rsidRPr="0028732A" w:rsidRDefault="00340A0C" w:rsidP="0079344B">
            <w:pPr>
              <w:jc w:val="both"/>
              <w:rPr>
                <w:rFonts w:ascii="Arial" w:hAnsi="Arial" w:cs="Arial"/>
                <w:sz w:val="20"/>
                <w:szCs w:val="20"/>
              </w:rPr>
            </w:pPr>
            <w:r w:rsidRPr="0028732A">
              <w:rPr>
                <w:rFonts w:ascii="Arial" w:hAnsi="Arial" w:cs="Arial"/>
                <w:sz w:val="20"/>
                <w:szCs w:val="20"/>
              </w:rPr>
              <w:t xml:space="preserve">Vía de </w:t>
            </w:r>
            <w:r>
              <w:rPr>
                <w:rFonts w:ascii="Arial" w:hAnsi="Arial" w:cs="Arial"/>
                <w:sz w:val="20"/>
                <w:szCs w:val="20"/>
              </w:rPr>
              <w:t>adm.</w:t>
            </w:r>
            <w:r w:rsidRPr="0028732A">
              <w:rPr>
                <w:rFonts w:ascii="Arial" w:hAnsi="Arial" w:cs="Arial"/>
                <w:sz w:val="20"/>
                <w:szCs w:val="20"/>
              </w:rPr>
              <w:t xml:space="preserve"> </w:t>
            </w:r>
          </w:p>
        </w:tc>
        <w:tc>
          <w:tcPr>
            <w:tcW w:w="2410" w:type="dxa"/>
          </w:tcPr>
          <w:p w:rsidR="00340A0C" w:rsidRPr="0028732A" w:rsidRDefault="00340A0C" w:rsidP="0079344B">
            <w:pPr>
              <w:jc w:val="both"/>
              <w:rPr>
                <w:rFonts w:ascii="Arial" w:hAnsi="Arial" w:cs="Arial"/>
                <w:sz w:val="20"/>
                <w:szCs w:val="20"/>
              </w:rPr>
            </w:pPr>
            <w:r w:rsidRPr="0028732A">
              <w:rPr>
                <w:rFonts w:ascii="Arial" w:hAnsi="Arial" w:cs="Arial"/>
                <w:sz w:val="20"/>
                <w:szCs w:val="20"/>
              </w:rPr>
              <w:t>Efectos secundarios</w:t>
            </w:r>
          </w:p>
        </w:tc>
        <w:tc>
          <w:tcPr>
            <w:tcW w:w="1706" w:type="dxa"/>
          </w:tcPr>
          <w:p w:rsidR="00340A0C" w:rsidRPr="0028732A" w:rsidRDefault="00340A0C" w:rsidP="0079344B">
            <w:pPr>
              <w:jc w:val="both"/>
              <w:rPr>
                <w:rFonts w:ascii="Arial" w:hAnsi="Arial" w:cs="Arial"/>
                <w:sz w:val="20"/>
                <w:szCs w:val="20"/>
              </w:rPr>
            </w:pPr>
            <w:r w:rsidRPr="0028732A">
              <w:rPr>
                <w:rFonts w:ascii="Arial" w:hAnsi="Arial" w:cs="Arial"/>
                <w:sz w:val="20"/>
                <w:szCs w:val="20"/>
              </w:rPr>
              <w:t>Consideraciones especiales</w:t>
            </w:r>
          </w:p>
        </w:tc>
        <w:tc>
          <w:tcPr>
            <w:tcW w:w="5520" w:type="dxa"/>
          </w:tcPr>
          <w:p w:rsidR="00340A0C" w:rsidRPr="0028732A" w:rsidRDefault="00340A0C" w:rsidP="0079344B">
            <w:pPr>
              <w:jc w:val="both"/>
              <w:rPr>
                <w:rFonts w:ascii="Arial" w:hAnsi="Arial" w:cs="Arial"/>
                <w:sz w:val="20"/>
                <w:szCs w:val="20"/>
              </w:rPr>
            </w:pPr>
            <w:r w:rsidRPr="0028732A">
              <w:rPr>
                <w:rFonts w:ascii="Arial" w:hAnsi="Arial" w:cs="Arial"/>
                <w:sz w:val="20"/>
                <w:szCs w:val="20"/>
              </w:rPr>
              <w:t>Acciones de enfermería</w:t>
            </w:r>
          </w:p>
        </w:tc>
      </w:tr>
      <w:tr w:rsidR="00340A0C" w:rsidTr="00340A0C">
        <w:tc>
          <w:tcPr>
            <w:tcW w:w="1242" w:type="dxa"/>
          </w:tcPr>
          <w:p w:rsidR="00340A0C" w:rsidRDefault="00340A0C" w:rsidP="0079344B">
            <w:pPr>
              <w:jc w:val="both"/>
              <w:rPr>
                <w:rFonts w:ascii="Arial" w:hAnsi="Arial" w:cs="Arial"/>
                <w:sz w:val="16"/>
                <w:szCs w:val="16"/>
              </w:rPr>
            </w:pPr>
          </w:p>
          <w:p w:rsidR="00340A0C" w:rsidRDefault="00340A0C" w:rsidP="0079344B">
            <w:pPr>
              <w:jc w:val="both"/>
              <w:rPr>
                <w:rFonts w:ascii="Arial" w:hAnsi="Arial" w:cs="Arial"/>
                <w:sz w:val="16"/>
                <w:szCs w:val="16"/>
              </w:rPr>
            </w:pPr>
            <w:r>
              <w:rPr>
                <w:rFonts w:ascii="Arial" w:hAnsi="Arial" w:cs="Arial"/>
                <w:sz w:val="16"/>
                <w:szCs w:val="16"/>
              </w:rPr>
              <w:t xml:space="preserve">Hidroxiurea </w:t>
            </w:r>
          </w:p>
          <w:p w:rsidR="00340A0C" w:rsidRDefault="00340A0C" w:rsidP="0079344B">
            <w:pPr>
              <w:jc w:val="both"/>
              <w:rPr>
                <w:rFonts w:ascii="Arial" w:hAnsi="Arial" w:cs="Arial"/>
                <w:sz w:val="16"/>
                <w:szCs w:val="16"/>
              </w:rPr>
            </w:pPr>
            <w:r>
              <w:rPr>
                <w:rFonts w:ascii="Arial" w:hAnsi="Arial" w:cs="Arial"/>
                <w:sz w:val="16"/>
                <w:szCs w:val="16"/>
              </w:rPr>
              <w:t xml:space="preserve">(Droxia, Hydrea, </w:t>
            </w:r>
          </w:p>
          <w:p w:rsidR="00340A0C" w:rsidRPr="00035BF7" w:rsidRDefault="00340A0C" w:rsidP="0079344B">
            <w:pPr>
              <w:jc w:val="both"/>
              <w:rPr>
                <w:rFonts w:ascii="Arial" w:hAnsi="Arial" w:cs="Arial"/>
                <w:sz w:val="16"/>
                <w:szCs w:val="16"/>
              </w:rPr>
            </w:pPr>
            <w:r>
              <w:rPr>
                <w:rFonts w:ascii="Arial" w:hAnsi="Arial" w:cs="Arial"/>
                <w:sz w:val="16"/>
                <w:szCs w:val="16"/>
              </w:rPr>
              <w:t>Mylocel)</w:t>
            </w:r>
          </w:p>
        </w:tc>
        <w:tc>
          <w:tcPr>
            <w:tcW w:w="1418" w:type="dxa"/>
          </w:tcPr>
          <w:p w:rsidR="00340A0C" w:rsidRDefault="00340A0C" w:rsidP="0079344B">
            <w:pPr>
              <w:jc w:val="both"/>
              <w:rPr>
                <w:rFonts w:ascii="Arial" w:hAnsi="Arial" w:cs="Arial"/>
                <w:sz w:val="16"/>
                <w:szCs w:val="16"/>
              </w:rPr>
            </w:pPr>
          </w:p>
          <w:p w:rsidR="00340A0C" w:rsidRPr="00035BF7" w:rsidRDefault="00340A0C" w:rsidP="0079344B">
            <w:pPr>
              <w:jc w:val="both"/>
              <w:rPr>
                <w:rFonts w:ascii="Arial" w:hAnsi="Arial" w:cs="Arial"/>
                <w:sz w:val="16"/>
                <w:szCs w:val="16"/>
              </w:rPr>
            </w:pPr>
            <w:r>
              <w:rPr>
                <w:rFonts w:ascii="Arial" w:hAnsi="Arial" w:cs="Arial"/>
                <w:sz w:val="16"/>
                <w:szCs w:val="16"/>
              </w:rPr>
              <w:t>misceláneos</w:t>
            </w:r>
          </w:p>
        </w:tc>
        <w:tc>
          <w:tcPr>
            <w:tcW w:w="850" w:type="dxa"/>
          </w:tcPr>
          <w:p w:rsidR="00340A0C" w:rsidRDefault="00340A0C" w:rsidP="0079344B">
            <w:pPr>
              <w:jc w:val="both"/>
              <w:rPr>
                <w:rFonts w:ascii="Arial" w:hAnsi="Arial" w:cs="Arial"/>
                <w:sz w:val="16"/>
                <w:szCs w:val="16"/>
              </w:rPr>
            </w:pPr>
          </w:p>
          <w:p w:rsidR="00340A0C" w:rsidRPr="00035BF7" w:rsidRDefault="00340A0C" w:rsidP="0079344B">
            <w:pPr>
              <w:jc w:val="both"/>
              <w:rPr>
                <w:rFonts w:ascii="Arial" w:hAnsi="Arial" w:cs="Arial"/>
                <w:sz w:val="16"/>
                <w:szCs w:val="16"/>
              </w:rPr>
            </w:pPr>
            <w:r>
              <w:rPr>
                <w:rFonts w:ascii="Arial" w:hAnsi="Arial" w:cs="Arial"/>
                <w:sz w:val="16"/>
                <w:szCs w:val="16"/>
              </w:rPr>
              <w:t>oral</w:t>
            </w:r>
          </w:p>
        </w:tc>
        <w:tc>
          <w:tcPr>
            <w:tcW w:w="2410" w:type="dxa"/>
          </w:tcPr>
          <w:p w:rsidR="00340A0C" w:rsidRDefault="00340A0C" w:rsidP="0079344B">
            <w:pPr>
              <w:jc w:val="both"/>
              <w:rPr>
                <w:rFonts w:ascii="Arial" w:hAnsi="Arial" w:cs="Arial"/>
                <w:sz w:val="16"/>
                <w:szCs w:val="16"/>
              </w:rPr>
            </w:pPr>
          </w:p>
          <w:p w:rsidR="00340A0C" w:rsidRDefault="00340A0C" w:rsidP="0079344B">
            <w:pPr>
              <w:jc w:val="both"/>
              <w:rPr>
                <w:rFonts w:ascii="Arial" w:hAnsi="Arial" w:cs="Arial"/>
                <w:sz w:val="16"/>
                <w:szCs w:val="16"/>
              </w:rPr>
            </w:pPr>
            <w:r>
              <w:rPr>
                <w:rFonts w:ascii="Arial" w:hAnsi="Arial" w:cs="Arial"/>
                <w:sz w:val="16"/>
                <w:szCs w:val="16"/>
              </w:rPr>
              <w:t>Frecuentes: mielosupresión con caída rápida de los niveles de leucocitos.</w:t>
            </w:r>
          </w:p>
          <w:p w:rsidR="00340A0C" w:rsidRDefault="00340A0C" w:rsidP="0079344B">
            <w:pPr>
              <w:jc w:val="both"/>
              <w:rPr>
                <w:rFonts w:ascii="Arial" w:hAnsi="Arial" w:cs="Arial"/>
                <w:sz w:val="16"/>
                <w:szCs w:val="16"/>
              </w:rPr>
            </w:pPr>
            <w:r>
              <w:rPr>
                <w:rFonts w:ascii="Arial" w:hAnsi="Arial" w:cs="Arial"/>
                <w:sz w:val="16"/>
                <w:szCs w:val="16"/>
              </w:rPr>
              <w:t>Ocasionales: náuseas, vómito, estomatitis, anemia.</w:t>
            </w:r>
          </w:p>
          <w:p w:rsidR="00340A0C" w:rsidRDefault="00340A0C" w:rsidP="0079344B">
            <w:pPr>
              <w:jc w:val="both"/>
              <w:rPr>
                <w:rFonts w:ascii="Arial" w:hAnsi="Arial" w:cs="Arial"/>
                <w:sz w:val="16"/>
                <w:szCs w:val="16"/>
              </w:rPr>
            </w:pPr>
          </w:p>
          <w:p w:rsidR="00340A0C" w:rsidRDefault="00340A0C" w:rsidP="0079344B">
            <w:pPr>
              <w:jc w:val="both"/>
              <w:rPr>
                <w:rFonts w:ascii="Arial" w:hAnsi="Arial" w:cs="Arial"/>
                <w:sz w:val="16"/>
                <w:szCs w:val="16"/>
              </w:rPr>
            </w:pPr>
          </w:p>
          <w:p w:rsidR="00340A0C" w:rsidRPr="00035BF7" w:rsidRDefault="00340A0C" w:rsidP="0079344B">
            <w:pPr>
              <w:jc w:val="both"/>
              <w:rPr>
                <w:rFonts w:ascii="Arial" w:hAnsi="Arial" w:cs="Arial"/>
                <w:sz w:val="16"/>
                <w:szCs w:val="16"/>
              </w:rPr>
            </w:pPr>
          </w:p>
        </w:tc>
        <w:tc>
          <w:tcPr>
            <w:tcW w:w="1706" w:type="dxa"/>
          </w:tcPr>
          <w:p w:rsidR="00340A0C" w:rsidRPr="00035BF7" w:rsidRDefault="00340A0C" w:rsidP="0079344B">
            <w:pPr>
              <w:jc w:val="both"/>
              <w:rPr>
                <w:rFonts w:ascii="Arial" w:hAnsi="Arial" w:cs="Arial"/>
                <w:sz w:val="16"/>
                <w:szCs w:val="16"/>
              </w:rPr>
            </w:pPr>
          </w:p>
        </w:tc>
        <w:tc>
          <w:tcPr>
            <w:tcW w:w="5520" w:type="dxa"/>
          </w:tcPr>
          <w:p w:rsidR="00340A0C" w:rsidRDefault="00340A0C" w:rsidP="0079344B">
            <w:pPr>
              <w:jc w:val="both"/>
              <w:rPr>
                <w:rFonts w:ascii="Arial" w:hAnsi="Arial" w:cs="Arial"/>
                <w:sz w:val="16"/>
                <w:szCs w:val="16"/>
              </w:rPr>
            </w:pPr>
          </w:p>
          <w:p w:rsidR="00340A0C" w:rsidRDefault="00340A0C" w:rsidP="0079344B">
            <w:pPr>
              <w:jc w:val="both"/>
              <w:rPr>
                <w:rFonts w:ascii="Arial" w:hAnsi="Arial" w:cs="Arial"/>
                <w:sz w:val="16"/>
                <w:szCs w:val="16"/>
              </w:rPr>
            </w:pPr>
            <w:r>
              <w:rPr>
                <w:rFonts w:ascii="Arial" w:hAnsi="Arial" w:cs="Arial"/>
                <w:sz w:val="16"/>
                <w:szCs w:val="16"/>
              </w:rPr>
              <w:t>No agregar a soluciones que sean ácidas o carbonatadas; se prefieren soluciones alcalinas.</w:t>
            </w:r>
          </w:p>
          <w:p w:rsidR="00340A0C" w:rsidRDefault="00340A0C" w:rsidP="0079344B">
            <w:pPr>
              <w:jc w:val="both"/>
              <w:rPr>
                <w:rFonts w:ascii="Arial" w:hAnsi="Arial" w:cs="Arial"/>
                <w:sz w:val="16"/>
                <w:szCs w:val="16"/>
              </w:rPr>
            </w:pPr>
            <w:r>
              <w:rPr>
                <w:rFonts w:ascii="Arial" w:hAnsi="Arial" w:cs="Arial"/>
                <w:sz w:val="16"/>
                <w:szCs w:val="16"/>
              </w:rPr>
              <w:t>Administrar con el estómago vacío (1 hora antes o 2 horas después de las comidas).</w:t>
            </w:r>
          </w:p>
          <w:p w:rsidR="00340A0C" w:rsidRPr="00035BF7" w:rsidRDefault="00340A0C" w:rsidP="0079344B">
            <w:pPr>
              <w:jc w:val="both"/>
              <w:rPr>
                <w:rFonts w:ascii="Arial" w:hAnsi="Arial" w:cs="Arial"/>
                <w:sz w:val="16"/>
                <w:szCs w:val="16"/>
              </w:rPr>
            </w:pPr>
            <w:r>
              <w:rPr>
                <w:rFonts w:ascii="Arial" w:hAnsi="Arial" w:cs="Arial"/>
                <w:sz w:val="16"/>
                <w:szCs w:val="16"/>
              </w:rPr>
              <w:t>La persona encargada del cuidado del paciente deberá manipular la pastilla con guantes.</w:t>
            </w:r>
          </w:p>
        </w:tc>
      </w:tr>
      <w:tr w:rsidR="00340A0C" w:rsidTr="00340A0C">
        <w:tc>
          <w:tcPr>
            <w:tcW w:w="1242" w:type="dxa"/>
          </w:tcPr>
          <w:p w:rsidR="00340A0C" w:rsidRDefault="00340A0C" w:rsidP="0079344B">
            <w:pPr>
              <w:jc w:val="both"/>
              <w:rPr>
                <w:rFonts w:ascii="Arial" w:hAnsi="Arial" w:cs="Arial"/>
                <w:sz w:val="16"/>
                <w:szCs w:val="16"/>
              </w:rPr>
            </w:pPr>
          </w:p>
          <w:p w:rsidR="00340A0C" w:rsidRPr="00035BF7" w:rsidRDefault="00340A0C" w:rsidP="0079344B">
            <w:pPr>
              <w:jc w:val="both"/>
              <w:rPr>
                <w:rFonts w:ascii="Arial" w:hAnsi="Arial" w:cs="Arial"/>
                <w:sz w:val="16"/>
                <w:szCs w:val="16"/>
              </w:rPr>
            </w:pPr>
            <w:r>
              <w:rPr>
                <w:rFonts w:ascii="Arial" w:hAnsi="Arial" w:cs="Arial"/>
                <w:sz w:val="16"/>
                <w:szCs w:val="16"/>
              </w:rPr>
              <w:t>Idarrubicina (Idamycin, idamycin PFS)</w:t>
            </w:r>
          </w:p>
        </w:tc>
        <w:tc>
          <w:tcPr>
            <w:tcW w:w="1418" w:type="dxa"/>
          </w:tcPr>
          <w:p w:rsidR="00340A0C" w:rsidRDefault="00340A0C" w:rsidP="0079344B">
            <w:pPr>
              <w:jc w:val="both"/>
              <w:rPr>
                <w:rFonts w:ascii="Arial" w:hAnsi="Arial" w:cs="Arial"/>
                <w:sz w:val="16"/>
                <w:szCs w:val="16"/>
              </w:rPr>
            </w:pPr>
          </w:p>
          <w:p w:rsidR="00340A0C" w:rsidRPr="00035BF7" w:rsidRDefault="00340A0C" w:rsidP="0079344B">
            <w:pPr>
              <w:jc w:val="both"/>
              <w:rPr>
                <w:rFonts w:ascii="Arial" w:hAnsi="Arial" w:cs="Arial"/>
                <w:sz w:val="16"/>
                <w:szCs w:val="16"/>
              </w:rPr>
            </w:pPr>
            <w:r>
              <w:rPr>
                <w:rFonts w:ascii="Arial" w:hAnsi="Arial" w:cs="Arial"/>
                <w:sz w:val="16"/>
                <w:szCs w:val="16"/>
              </w:rPr>
              <w:t>Antibiótico de antraciclina</w:t>
            </w:r>
          </w:p>
        </w:tc>
        <w:tc>
          <w:tcPr>
            <w:tcW w:w="850" w:type="dxa"/>
          </w:tcPr>
          <w:p w:rsidR="00340A0C" w:rsidRDefault="00340A0C" w:rsidP="0079344B">
            <w:pPr>
              <w:jc w:val="both"/>
              <w:rPr>
                <w:rFonts w:ascii="Arial" w:hAnsi="Arial" w:cs="Arial"/>
                <w:sz w:val="16"/>
                <w:szCs w:val="16"/>
              </w:rPr>
            </w:pPr>
          </w:p>
          <w:p w:rsidR="00340A0C" w:rsidRPr="00035BF7" w:rsidRDefault="00340A0C" w:rsidP="0079344B">
            <w:pPr>
              <w:jc w:val="both"/>
              <w:rPr>
                <w:rFonts w:ascii="Arial" w:hAnsi="Arial" w:cs="Arial"/>
                <w:sz w:val="16"/>
                <w:szCs w:val="16"/>
              </w:rPr>
            </w:pPr>
            <w:r>
              <w:rPr>
                <w:rFonts w:ascii="Arial" w:hAnsi="Arial" w:cs="Arial"/>
                <w:sz w:val="16"/>
                <w:szCs w:val="16"/>
              </w:rPr>
              <w:t>IV</w:t>
            </w:r>
          </w:p>
        </w:tc>
        <w:tc>
          <w:tcPr>
            <w:tcW w:w="2410" w:type="dxa"/>
          </w:tcPr>
          <w:p w:rsidR="00340A0C" w:rsidRDefault="00340A0C" w:rsidP="0079344B">
            <w:pPr>
              <w:jc w:val="both"/>
              <w:rPr>
                <w:rFonts w:ascii="Arial" w:hAnsi="Arial" w:cs="Arial"/>
                <w:sz w:val="16"/>
                <w:szCs w:val="16"/>
              </w:rPr>
            </w:pPr>
          </w:p>
          <w:p w:rsidR="00340A0C" w:rsidRPr="00035BF7" w:rsidRDefault="00340A0C" w:rsidP="0079344B">
            <w:pPr>
              <w:jc w:val="both"/>
              <w:rPr>
                <w:rFonts w:ascii="Arial" w:hAnsi="Arial" w:cs="Arial"/>
                <w:sz w:val="16"/>
                <w:szCs w:val="16"/>
              </w:rPr>
            </w:pPr>
            <w:r>
              <w:rPr>
                <w:rFonts w:ascii="Arial" w:hAnsi="Arial" w:cs="Arial"/>
                <w:sz w:val="16"/>
                <w:szCs w:val="16"/>
              </w:rPr>
              <w:t>Análogo de la daunorrubicina con actividad similar y efectos secundarios.</w:t>
            </w:r>
          </w:p>
        </w:tc>
        <w:tc>
          <w:tcPr>
            <w:tcW w:w="1706" w:type="dxa"/>
          </w:tcPr>
          <w:p w:rsidR="00340A0C" w:rsidRDefault="00340A0C" w:rsidP="0079344B">
            <w:pPr>
              <w:jc w:val="both"/>
              <w:rPr>
                <w:rFonts w:ascii="Arial" w:hAnsi="Arial" w:cs="Arial"/>
                <w:sz w:val="16"/>
                <w:szCs w:val="16"/>
              </w:rPr>
            </w:pPr>
          </w:p>
          <w:p w:rsidR="00340A0C" w:rsidRPr="00035BF7" w:rsidRDefault="00340A0C" w:rsidP="0079344B">
            <w:pPr>
              <w:jc w:val="both"/>
              <w:rPr>
                <w:rFonts w:ascii="Arial" w:hAnsi="Arial" w:cs="Arial"/>
                <w:sz w:val="16"/>
                <w:szCs w:val="16"/>
              </w:rPr>
            </w:pPr>
            <w:r>
              <w:rPr>
                <w:rFonts w:ascii="Arial" w:hAnsi="Arial" w:cs="Arial"/>
                <w:sz w:val="16"/>
                <w:szCs w:val="16"/>
              </w:rPr>
              <w:t>Ver daunorrubicina</w:t>
            </w:r>
          </w:p>
        </w:tc>
        <w:tc>
          <w:tcPr>
            <w:tcW w:w="5520" w:type="dxa"/>
          </w:tcPr>
          <w:p w:rsidR="00340A0C" w:rsidRDefault="00340A0C" w:rsidP="0045504C">
            <w:pPr>
              <w:jc w:val="both"/>
              <w:rPr>
                <w:rFonts w:ascii="Arial" w:hAnsi="Arial" w:cs="Arial"/>
                <w:sz w:val="24"/>
                <w:szCs w:val="24"/>
              </w:rPr>
            </w:pPr>
          </w:p>
        </w:tc>
      </w:tr>
      <w:tr w:rsidR="00340A0C" w:rsidTr="00340A0C">
        <w:tc>
          <w:tcPr>
            <w:tcW w:w="1242" w:type="dxa"/>
          </w:tcPr>
          <w:p w:rsidR="00340A0C" w:rsidRDefault="00340A0C" w:rsidP="0045504C">
            <w:pPr>
              <w:jc w:val="both"/>
              <w:rPr>
                <w:rFonts w:ascii="Arial" w:hAnsi="Arial" w:cs="Arial"/>
                <w:sz w:val="16"/>
                <w:szCs w:val="16"/>
              </w:rPr>
            </w:pPr>
          </w:p>
          <w:p w:rsidR="00340A0C" w:rsidRPr="00340A0C" w:rsidRDefault="00340A0C" w:rsidP="0045504C">
            <w:pPr>
              <w:jc w:val="both"/>
              <w:rPr>
                <w:rFonts w:ascii="Arial" w:hAnsi="Arial" w:cs="Arial"/>
                <w:sz w:val="16"/>
                <w:szCs w:val="16"/>
              </w:rPr>
            </w:pPr>
            <w:r>
              <w:rPr>
                <w:rFonts w:ascii="Arial" w:hAnsi="Arial" w:cs="Arial"/>
                <w:sz w:val="16"/>
                <w:szCs w:val="16"/>
              </w:rPr>
              <w:t>Ifosfamida (Ifex)</w:t>
            </w:r>
          </w:p>
        </w:tc>
        <w:tc>
          <w:tcPr>
            <w:tcW w:w="1418" w:type="dxa"/>
          </w:tcPr>
          <w:p w:rsidR="00340A0C" w:rsidRDefault="00340A0C" w:rsidP="0045504C">
            <w:pPr>
              <w:jc w:val="both"/>
              <w:rPr>
                <w:rFonts w:ascii="Arial" w:hAnsi="Arial" w:cs="Arial"/>
                <w:sz w:val="16"/>
                <w:szCs w:val="16"/>
              </w:rPr>
            </w:pPr>
          </w:p>
          <w:p w:rsidR="00340A0C" w:rsidRPr="00340A0C" w:rsidRDefault="00340A0C" w:rsidP="0045504C">
            <w:pPr>
              <w:jc w:val="both"/>
              <w:rPr>
                <w:rFonts w:ascii="Arial" w:hAnsi="Arial" w:cs="Arial"/>
                <w:sz w:val="16"/>
                <w:szCs w:val="16"/>
              </w:rPr>
            </w:pPr>
            <w:r>
              <w:rPr>
                <w:rFonts w:ascii="Arial" w:hAnsi="Arial" w:cs="Arial"/>
                <w:sz w:val="16"/>
                <w:szCs w:val="16"/>
              </w:rPr>
              <w:t>Agente alcalinizante</w:t>
            </w:r>
          </w:p>
        </w:tc>
        <w:tc>
          <w:tcPr>
            <w:tcW w:w="850" w:type="dxa"/>
          </w:tcPr>
          <w:p w:rsidR="00340A0C" w:rsidRDefault="00340A0C" w:rsidP="0045504C">
            <w:pPr>
              <w:jc w:val="both"/>
              <w:rPr>
                <w:rFonts w:ascii="Arial" w:hAnsi="Arial" w:cs="Arial"/>
                <w:sz w:val="16"/>
                <w:szCs w:val="16"/>
              </w:rPr>
            </w:pPr>
          </w:p>
          <w:p w:rsidR="00340A0C" w:rsidRPr="00340A0C" w:rsidRDefault="00340A0C" w:rsidP="0045504C">
            <w:pPr>
              <w:jc w:val="both"/>
              <w:rPr>
                <w:rFonts w:ascii="Arial" w:hAnsi="Arial" w:cs="Arial"/>
                <w:sz w:val="16"/>
                <w:szCs w:val="16"/>
              </w:rPr>
            </w:pPr>
            <w:r>
              <w:rPr>
                <w:rFonts w:ascii="Arial" w:hAnsi="Arial" w:cs="Arial"/>
                <w:sz w:val="16"/>
                <w:szCs w:val="16"/>
              </w:rPr>
              <w:t>IV</w:t>
            </w:r>
          </w:p>
        </w:tc>
        <w:tc>
          <w:tcPr>
            <w:tcW w:w="2410" w:type="dxa"/>
          </w:tcPr>
          <w:p w:rsidR="00340A0C" w:rsidRDefault="00340A0C" w:rsidP="0045504C">
            <w:pPr>
              <w:jc w:val="both"/>
              <w:rPr>
                <w:rFonts w:ascii="Arial" w:hAnsi="Arial" w:cs="Arial"/>
                <w:sz w:val="16"/>
                <w:szCs w:val="16"/>
              </w:rPr>
            </w:pPr>
          </w:p>
          <w:p w:rsidR="00340A0C" w:rsidRDefault="00340A0C" w:rsidP="0045504C">
            <w:pPr>
              <w:jc w:val="both"/>
              <w:rPr>
                <w:rFonts w:ascii="Arial" w:hAnsi="Arial" w:cs="Arial"/>
                <w:sz w:val="16"/>
                <w:szCs w:val="16"/>
              </w:rPr>
            </w:pPr>
            <w:r>
              <w:rPr>
                <w:rFonts w:ascii="Arial" w:hAnsi="Arial" w:cs="Arial"/>
                <w:sz w:val="16"/>
                <w:szCs w:val="16"/>
              </w:rPr>
              <w:t>Frecuentes: náuseas, vómito, anorexia, mielosupresión, arritmia subclínica y cambios en el ECG alopecia.</w:t>
            </w:r>
          </w:p>
          <w:p w:rsidR="00340A0C" w:rsidRDefault="00340A0C" w:rsidP="0045504C">
            <w:pPr>
              <w:jc w:val="both"/>
              <w:rPr>
                <w:rFonts w:ascii="Arial" w:hAnsi="Arial" w:cs="Arial"/>
                <w:sz w:val="16"/>
                <w:szCs w:val="16"/>
              </w:rPr>
            </w:pPr>
            <w:r>
              <w:rPr>
                <w:rFonts w:ascii="Arial" w:hAnsi="Arial" w:cs="Arial"/>
                <w:sz w:val="16"/>
                <w:szCs w:val="16"/>
              </w:rPr>
              <w:t>Ocasionales: somnolencia, confusión, debilidad, convulsiones, síndrome de secreción inadecuada</w:t>
            </w:r>
            <w:r w:rsidR="007A6CF8">
              <w:rPr>
                <w:rFonts w:ascii="Arial" w:hAnsi="Arial" w:cs="Arial"/>
                <w:sz w:val="16"/>
                <w:szCs w:val="16"/>
              </w:rPr>
              <w:t xml:space="preserve"> de la hormona antidiurética, cistitis hemorrágica, toxicidades cardíacas con arritmias con dosis altas, necrosis de miocardio,  síndrome renal de Falconi.</w:t>
            </w:r>
          </w:p>
          <w:p w:rsidR="007A6CF8" w:rsidRPr="00340A0C" w:rsidRDefault="0079344B" w:rsidP="0045504C">
            <w:pPr>
              <w:jc w:val="both"/>
              <w:rPr>
                <w:rFonts w:ascii="Arial" w:hAnsi="Arial" w:cs="Arial"/>
                <w:sz w:val="16"/>
                <w:szCs w:val="16"/>
              </w:rPr>
            </w:pPr>
            <w:r>
              <w:rPr>
                <w:rFonts w:ascii="Arial" w:hAnsi="Arial" w:cs="Arial"/>
                <w:sz w:val="16"/>
                <w:szCs w:val="16"/>
              </w:rPr>
              <w:t>R</w:t>
            </w:r>
            <w:r w:rsidR="007A6CF8">
              <w:rPr>
                <w:rFonts w:ascii="Arial" w:hAnsi="Arial" w:cs="Arial"/>
                <w:sz w:val="16"/>
                <w:szCs w:val="16"/>
              </w:rPr>
              <w:t>aros</w:t>
            </w:r>
            <w:r>
              <w:rPr>
                <w:rFonts w:ascii="Arial" w:hAnsi="Arial" w:cs="Arial"/>
                <w:sz w:val="16"/>
                <w:szCs w:val="16"/>
              </w:rPr>
              <w:t>: encefalopatía, neuropatía periférica, insuficiencia renal aguda, fibrosis de pulmonar, cáncer secundario, fibrosis de la vejiga.</w:t>
            </w:r>
          </w:p>
        </w:tc>
        <w:tc>
          <w:tcPr>
            <w:tcW w:w="1706" w:type="dxa"/>
          </w:tcPr>
          <w:p w:rsidR="0079344B" w:rsidRDefault="0079344B" w:rsidP="0045504C">
            <w:pPr>
              <w:jc w:val="both"/>
              <w:rPr>
                <w:rFonts w:ascii="Arial" w:hAnsi="Arial" w:cs="Arial"/>
                <w:sz w:val="16"/>
                <w:szCs w:val="16"/>
              </w:rPr>
            </w:pPr>
          </w:p>
          <w:p w:rsidR="00621D0A" w:rsidRDefault="00621D0A" w:rsidP="0045504C">
            <w:pPr>
              <w:jc w:val="both"/>
              <w:rPr>
                <w:rFonts w:ascii="Arial" w:hAnsi="Arial" w:cs="Arial"/>
                <w:sz w:val="16"/>
                <w:szCs w:val="16"/>
              </w:rPr>
            </w:pPr>
            <w:r>
              <w:rPr>
                <w:rFonts w:ascii="Arial" w:hAnsi="Arial" w:cs="Arial"/>
                <w:sz w:val="16"/>
                <w:szCs w:val="16"/>
              </w:rPr>
              <w:t>Riesgo de cistitis hemorrágica severa si se administra sin mesna.</w:t>
            </w:r>
          </w:p>
          <w:p w:rsidR="00621D0A" w:rsidRDefault="00621D0A" w:rsidP="0045504C">
            <w:pPr>
              <w:jc w:val="both"/>
              <w:rPr>
                <w:rFonts w:ascii="Arial" w:hAnsi="Arial" w:cs="Arial"/>
                <w:sz w:val="16"/>
                <w:szCs w:val="16"/>
              </w:rPr>
            </w:pPr>
            <w:r>
              <w:rPr>
                <w:rFonts w:ascii="Arial" w:hAnsi="Arial" w:cs="Arial"/>
                <w:sz w:val="16"/>
                <w:szCs w:val="16"/>
              </w:rPr>
              <w:t xml:space="preserve">Pueden presentarse síntomas más severos con dosis más altas y después de una inyección rápida. </w:t>
            </w:r>
          </w:p>
          <w:p w:rsidR="00621D0A" w:rsidRDefault="00621D0A" w:rsidP="0045504C">
            <w:pPr>
              <w:jc w:val="both"/>
              <w:rPr>
                <w:rFonts w:ascii="Arial" w:hAnsi="Arial" w:cs="Arial"/>
                <w:sz w:val="16"/>
                <w:szCs w:val="16"/>
              </w:rPr>
            </w:pPr>
            <w:r>
              <w:rPr>
                <w:rFonts w:ascii="Arial" w:hAnsi="Arial" w:cs="Arial"/>
                <w:sz w:val="16"/>
                <w:szCs w:val="16"/>
              </w:rPr>
              <w:t>El síndrome de Falconi es más frecuente con un historial de cisplatino, daño renal previo y dosis acumulativa de 70-100 gm/m</w:t>
            </w:r>
            <w:r w:rsidR="00315400">
              <w:rPr>
                <w:rFonts w:ascii="Arial" w:hAnsi="Arial" w:cs="Arial"/>
                <w:sz w:val="16"/>
                <w:szCs w:val="16"/>
              </w:rPr>
              <w:t>2.</w:t>
            </w:r>
          </w:p>
          <w:p w:rsidR="00315400" w:rsidRPr="00340A0C" w:rsidRDefault="00864D49" w:rsidP="0045504C">
            <w:pPr>
              <w:jc w:val="both"/>
              <w:rPr>
                <w:rFonts w:ascii="Arial" w:hAnsi="Arial" w:cs="Arial"/>
                <w:sz w:val="16"/>
                <w:szCs w:val="16"/>
              </w:rPr>
            </w:pPr>
            <w:r>
              <w:rPr>
                <w:rFonts w:ascii="Arial" w:hAnsi="Arial" w:cs="Arial"/>
                <w:sz w:val="16"/>
                <w:szCs w:val="16"/>
              </w:rPr>
              <w:t>Puede requ</w:t>
            </w:r>
            <w:r w:rsidR="00315400">
              <w:rPr>
                <w:rFonts w:ascii="Arial" w:hAnsi="Arial" w:cs="Arial"/>
                <w:sz w:val="16"/>
                <w:szCs w:val="16"/>
              </w:rPr>
              <w:t>erir suplementación electrolítica con Mg, K, PO4.</w:t>
            </w:r>
          </w:p>
        </w:tc>
        <w:tc>
          <w:tcPr>
            <w:tcW w:w="5520" w:type="dxa"/>
          </w:tcPr>
          <w:p w:rsidR="00340A0C" w:rsidRDefault="00340A0C" w:rsidP="0045504C">
            <w:pPr>
              <w:jc w:val="both"/>
              <w:rPr>
                <w:rFonts w:ascii="Arial" w:hAnsi="Arial" w:cs="Arial"/>
                <w:sz w:val="16"/>
                <w:szCs w:val="16"/>
              </w:rPr>
            </w:pPr>
          </w:p>
          <w:p w:rsidR="00621D0A" w:rsidRDefault="00315400" w:rsidP="0045504C">
            <w:pPr>
              <w:jc w:val="both"/>
              <w:rPr>
                <w:rFonts w:ascii="Arial" w:hAnsi="Arial" w:cs="Arial"/>
                <w:sz w:val="16"/>
                <w:szCs w:val="16"/>
              </w:rPr>
            </w:pPr>
            <w:r>
              <w:rPr>
                <w:rFonts w:ascii="Arial" w:hAnsi="Arial" w:cs="Arial"/>
                <w:sz w:val="16"/>
                <w:szCs w:val="16"/>
              </w:rPr>
              <w:t>Deben monitorearse los ingresos y egresos, y el peso específico de la orina.</w:t>
            </w:r>
          </w:p>
          <w:p w:rsidR="00315400" w:rsidRDefault="00315400" w:rsidP="0045504C">
            <w:pPr>
              <w:jc w:val="both"/>
              <w:rPr>
                <w:rFonts w:ascii="Arial" w:hAnsi="Arial" w:cs="Arial"/>
                <w:sz w:val="16"/>
                <w:szCs w:val="16"/>
              </w:rPr>
            </w:pPr>
            <w:r>
              <w:rPr>
                <w:rFonts w:ascii="Arial" w:hAnsi="Arial" w:cs="Arial"/>
                <w:sz w:val="16"/>
                <w:szCs w:val="16"/>
              </w:rPr>
              <w:t>Se debe administrar hidratación por vía oral o IV de 3 a 6 horas antes y continuar 24 hs después de la dosis.</w:t>
            </w:r>
          </w:p>
          <w:p w:rsidR="00315400" w:rsidRDefault="00315400" w:rsidP="0045504C">
            <w:pPr>
              <w:jc w:val="both"/>
              <w:rPr>
                <w:rFonts w:ascii="Arial" w:hAnsi="Arial" w:cs="Arial"/>
                <w:sz w:val="16"/>
                <w:szCs w:val="16"/>
              </w:rPr>
            </w:pPr>
            <w:r>
              <w:rPr>
                <w:rFonts w:ascii="Arial" w:hAnsi="Arial" w:cs="Arial"/>
                <w:sz w:val="16"/>
                <w:szCs w:val="16"/>
              </w:rPr>
              <w:t>Se puede mezclar con mesna.</w:t>
            </w:r>
          </w:p>
          <w:p w:rsidR="00315400" w:rsidRDefault="00315400" w:rsidP="0045504C">
            <w:pPr>
              <w:jc w:val="both"/>
              <w:rPr>
                <w:rFonts w:ascii="Arial" w:hAnsi="Arial" w:cs="Arial"/>
                <w:sz w:val="16"/>
                <w:szCs w:val="16"/>
              </w:rPr>
            </w:pPr>
            <w:r>
              <w:rPr>
                <w:rFonts w:ascii="Arial" w:hAnsi="Arial" w:cs="Arial"/>
                <w:sz w:val="16"/>
                <w:szCs w:val="16"/>
              </w:rPr>
              <w:t>Mesna debe administrarse exactamente como se indicó y a tiempo.</w:t>
            </w:r>
          </w:p>
          <w:p w:rsidR="00315400" w:rsidRDefault="00315400" w:rsidP="0045504C">
            <w:pPr>
              <w:jc w:val="both"/>
              <w:rPr>
                <w:rFonts w:ascii="Arial" w:hAnsi="Arial" w:cs="Arial"/>
                <w:sz w:val="16"/>
                <w:szCs w:val="16"/>
              </w:rPr>
            </w:pPr>
            <w:r>
              <w:rPr>
                <w:rFonts w:ascii="Arial" w:hAnsi="Arial" w:cs="Arial"/>
                <w:sz w:val="16"/>
                <w:szCs w:val="16"/>
              </w:rPr>
              <w:t>Monitorear los electrolitos.</w:t>
            </w:r>
          </w:p>
          <w:p w:rsidR="00315400" w:rsidRDefault="00315400" w:rsidP="0045504C">
            <w:pPr>
              <w:jc w:val="both"/>
              <w:rPr>
                <w:rFonts w:ascii="Arial" w:hAnsi="Arial" w:cs="Arial"/>
                <w:sz w:val="16"/>
                <w:szCs w:val="16"/>
              </w:rPr>
            </w:pPr>
            <w:r>
              <w:rPr>
                <w:rFonts w:ascii="Arial" w:hAnsi="Arial" w:cs="Arial"/>
                <w:sz w:val="16"/>
                <w:szCs w:val="16"/>
              </w:rPr>
              <w:t xml:space="preserve">Revisar con frecuencia la orina para detectar sangre. </w:t>
            </w:r>
          </w:p>
          <w:p w:rsidR="00315400" w:rsidRPr="00340A0C" w:rsidRDefault="00315400" w:rsidP="0045504C">
            <w:pPr>
              <w:jc w:val="both"/>
              <w:rPr>
                <w:rFonts w:ascii="Arial" w:hAnsi="Arial" w:cs="Arial"/>
                <w:sz w:val="16"/>
                <w:szCs w:val="16"/>
              </w:rPr>
            </w:pPr>
          </w:p>
        </w:tc>
      </w:tr>
    </w:tbl>
    <w:p w:rsidR="0045504C" w:rsidRDefault="0045504C" w:rsidP="0045504C">
      <w:pPr>
        <w:jc w:val="both"/>
        <w:rPr>
          <w:rFonts w:ascii="Arial" w:hAnsi="Arial" w:cs="Arial"/>
          <w:sz w:val="24"/>
          <w:szCs w:val="24"/>
        </w:rPr>
      </w:pPr>
    </w:p>
    <w:p w:rsidR="00621D0A" w:rsidRDefault="00621D0A" w:rsidP="0045504C">
      <w:pPr>
        <w:jc w:val="both"/>
        <w:rPr>
          <w:rFonts w:ascii="Arial" w:hAnsi="Arial" w:cs="Arial"/>
          <w:sz w:val="24"/>
          <w:szCs w:val="24"/>
        </w:rPr>
      </w:pPr>
    </w:p>
    <w:p w:rsidR="00315400" w:rsidRDefault="00315400" w:rsidP="00315400">
      <w:pPr>
        <w:jc w:val="both"/>
        <w:rPr>
          <w:rFonts w:ascii="Arial" w:hAnsi="Arial" w:cs="Arial"/>
          <w:sz w:val="24"/>
          <w:szCs w:val="24"/>
        </w:rPr>
      </w:pPr>
      <w:r>
        <w:rPr>
          <w:rFonts w:ascii="Arial" w:hAnsi="Arial" w:cs="Arial"/>
          <w:sz w:val="24"/>
          <w:szCs w:val="24"/>
        </w:rPr>
        <w:lastRenderedPageBreak/>
        <w:t>Tabla 1 Agentes quimioterapéuticos</w:t>
      </w:r>
    </w:p>
    <w:tbl>
      <w:tblPr>
        <w:tblStyle w:val="Tablaconcuadrcula"/>
        <w:tblW w:w="0" w:type="auto"/>
        <w:tblLayout w:type="fixed"/>
        <w:tblLook w:val="04A0" w:firstRow="1" w:lastRow="0" w:firstColumn="1" w:lastColumn="0" w:noHBand="0" w:noVBand="1"/>
      </w:tblPr>
      <w:tblGrid>
        <w:gridCol w:w="1242"/>
        <w:gridCol w:w="1418"/>
        <w:gridCol w:w="850"/>
        <w:gridCol w:w="2383"/>
        <w:gridCol w:w="1706"/>
        <w:gridCol w:w="5550"/>
      </w:tblGrid>
      <w:tr w:rsidR="0045504C" w:rsidTr="00810425">
        <w:tc>
          <w:tcPr>
            <w:tcW w:w="1242" w:type="dxa"/>
          </w:tcPr>
          <w:p w:rsidR="0045504C" w:rsidRPr="0028732A" w:rsidRDefault="0045504C" w:rsidP="00C11C9E">
            <w:pPr>
              <w:jc w:val="both"/>
              <w:rPr>
                <w:rFonts w:ascii="Arial" w:hAnsi="Arial" w:cs="Arial"/>
                <w:sz w:val="20"/>
                <w:szCs w:val="20"/>
              </w:rPr>
            </w:pPr>
            <w:r w:rsidRPr="0028732A">
              <w:rPr>
                <w:rFonts w:ascii="Arial" w:hAnsi="Arial" w:cs="Arial"/>
                <w:sz w:val="20"/>
                <w:szCs w:val="20"/>
              </w:rPr>
              <w:t>fármaco</w:t>
            </w:r>
          </w:p>
        </w:tc>
        <w:tc>
          <w:tcPr>
            <w:tcW w:w="1418" w:type="dxa"/>
          </w:tcPr>
          <w:p w:rsidR="0045504C" w:rsidRPr="0028732A" w:rsidRDefault="0045504C" w:rsidP="00C11C9E">
            <w:pPr>
              <w:jc w:val="both"/>
              <w:rPr>
                <w:rFonts w:ascii="Arial" w:hAnsi="Arial" w:cs="Arial"/>
                <w:sz w:val="20"/>
                <w:szCs w:val="20"/>
              </w:rPr>
            </w:pPr>
            <w:r w:rsidRPr="0028732A">
              <w:rPr>
                <w:rFonts w:ascii="Arial" w:hAnsi="Arial" w:cs="Arial"/>
                <w:sz w:val="20"/>
                <w:szCs w:val="20"/>
              </w:rPr>
              <w:t xml:space="preserve">Clasificación </w:t>
            </w:r>
          </w:p>
        </w:tc>
        <w:tc>
          <w:tcPr>
            <w:tcW w:w="850" w:type="dxa"/>
          </w:tcPr>
          <w:p w:rsidR="0045504C" w:rsidRPr="0028732A" w:rsidRDefault="0045504C" w:rsidP="00C11C9E">
            <w:pPr>
              <w:jc w:val="both"/>
              <w:rPr>
                <w:rFonts w:ascii="Arial" w:hAnsi="Arial" w:cs="Arial"/>
                <w:sz w:val="20"/>
                <w:szCs w:val="20"/>
              </w:rPr>
            </w:pPr>
            <w:r w:rsidRPr="0028732A">
              <w:rPr>
                <w:rFonts w:ascii="Arial" w:hAnsi="Arial" w:cs="Arial"/>
                <w:sz w:val="20"/>
                <w:szCs w:val="20"/>
              </w:rPr>
              <w:t xml:space="preserve">Vía de </w:t>
            </w:r>
            <w:r>
              <w:rPr>
                <w:rFonts w:ascii="Arial" w:hAnsi="Arial" w:cs="Arial"/>
                <w:sz w:val="20"/>
                <w:szCs w:val="20"/>
              </w:rPr>
              <w:t>adm.</w:t>
            </w:r>
            <w:r w:rsidRPr="0028732A">
              <w:rPr>
                <w:rFonts w:ascii="Arial" w:hAnsi="Arial" w:cs="Arial"/>
                <w:sz w:val="20"/>
                <w:szCs w:val="20"/>
              </w:rPr>
              <w:t xml:space="preserve"> </w:t>
            </w:r>
          </w:p>
        </w:tc>
        <w:tc>
          <w:tcPr>
            <w:tcW w:w="2383" w:type="dxa"/>
          </w:tcPr>
          <w:p w:rsidR="0045504C" w:rsidRPr="0028732A" w:rsidRDefault="0045504C" w:rsidP="00C11C9E">
            <w:pPr>
              <w:jc w:val="both"/>
              <w:rPr>
                <w:rFonts w:ascii="Arial" w:hAnsi="Arial" w:cs="Arial"/>
                <w:sz w:val="20"/>
                <w:szCs w:val="20"/>
              </w:rPr>
            </w:pPr>
            <w:r w:rsidRPr="0028732A">
              <w:rPr>
                <w:rFonts w:ascii="Arial" w:hAnsi="Arial" w:cs="Arial"/>
                <w:sz w:val="20"/>
                <w:szCs w:val="20"/>
              </w:rPr>
              <w:t>Efectos secundarios</w:t>
            </w:r>
          </w:p>
        </w:tc>
        <w:tc>
          <w:tcPr>
            <w:tcW w:w="1706" w:type="dxa"/>
          </w:tcPr>
          <w:p w:rsidR="0045504C" w:rsidRPr="0028732A" w:rsidRDefault="0045504C" w:rsidP="00C11C9E">
            <w:pPr>
              <w:jc w:val="both"/>
              <w:rPr>
                <w:rFonts w:ascii="Arial" w:hAnsi="Arial" w:cs="Arial"/>
                <w:sz w:val="20"/>
                <w:szCs w:val="20"/>
              </w:rPr>
            </w:pPr>
            <w:r w:rsidRPr="0028732A">
              <w:rPr>
                <w:rFonts w:ascii="Arial" w:hAnsi="Arial" w:cs="Arial"/>
                <w:sz w:val="20"/>
                <w:szCs w:val="20"/>
              </w:rPr>
              <w:t>Consideraciones especiales</w:t>
            </w:r>
          </w:p>
        </w:tc>
        <w:tc>
          <w:tcPr>
            <w:tcW w:w="5550" w:type="dxa"/>
          </w:tcPr>
          <w:p w:rsidR="0045504C" w:rsidRPr="0028732A" w:rsidRDefault="0045504C" w:rsidP="00C11C9E">
            <w:pPr>
              <w:jc w:val="both"/>
              <w:rPr>
                <w:rFonts w:ascii="Arial" w:hAnsi="Arial" w:cs="Arial"/>
                <w:sz w:val="20"/>
                <w:szCs w:val="20"/>
              </w:rPr>
            </w:pPr>
            <w:r w:rsidRPr="0028732A">
              <w:rPr>
                <w:rFonts w:ascii="Arial" w:hAnsi="Arial" w:cs="Arial"/>
                <w:sz w:val="20"/>
                <w:szCs w:val="20"/>
              </w:rPr>
              <w:t>Acciones de enfermería</w:t>
            </w:r>
          </w:p>
        </w:tc>
      </w:tr>
      <w:tr w:rsidR="0045504C" w:rsidTr="00810425">
        <w:tc>
          <w:tcPr>
            <w:tcW w:w="1242" w:type="dxa"/>
          </w:tcPr>
          <w:p w:rsidR="00315400" w:rsidRDefault="00315400" w:rsidP="00C11C9E">
            <w:pPr>
              <w:jc w:val="both"/>
              <w:rPr>
                <w:rFonts w:ascii="Arial" w:hAnsi="Arial" w:cs="Arial"/>
                <w:sz w:val="16"/>
                <w:szCs w:val="16"/>
              </w:rPr>
            </w:pPr>
          </w:p>
          <w:p w:rsidR="00810425" w:rsidRPr="00035BF7" w:rsidRDefault="00315400" w:rsidP="00C11C9E">
            <w:pPr>
              <w:jc w:val="both"/>
              <w:rPr>
                <w:rFonts w:ascii="Arial" w:hAnsi="Arial" w:cs="Arial"/>
                <w:sz w:val="16"/>
                <w:szCs w:val="16"/>
              </w:rPr>
            </w:pPr>
            <w:r>
              <w:rPr>
                <w:rFonts w:ascii="Arial" w:hAnsi="Arial" w:cs="Arial"/>
                <w:sz w:val="16"/>
                <w:szCs w:val="16"/>
              </w:rPr>
              <w:t>Mesilato de imatinib (Gleevec)</w:t>
            </w:r>
          </w:p>
        </w:tc>
        <w:tc>
          <w:tcPr>
            <w:tcW w:w="1418" w:type="dxa"/>
          </w:tcPr>
          <w:p w:rsidR="0045504C" w:rsidRDefault="0045504C" w:rsidP="00C11C9E">
            <w:pPr>
              <w:jc w:val="both"/>
              <w:rPr>
                <w:rFonts w:ascii="Arial" w:hAnsi="Arial" w:cs="Arial"/>
                <w:sz w:val="16"/>
                <w:szCs w:val="16"/>
              </w:rPr>
            </w:pPr>
          </w:p>
          <w:p w:rsidR="00315400" w:rsidRPr="00035BF7" w:rsidRDefault="00315400" w:rsidP="00C11C9E">
            <w:pPr>
              <w:jc w:val="both"/>
              <w:rPr>
                <w:rFonts w:ascii="Arial" w:hAnsi="Arial" w:cs="Arial"/>
                <w:sz w:val="16"/>
                <w:szCs w:val="16"/>
              </w:rPr>
            </w:pPr>
            <w:r>
              <w:rPr>
                <w:rFonts w:ascii="Arial" w:hAnsi="Arial" w:cs="Arial"/>
                <w:sz w:val="16"/>
                <w:szCs w:val="16"/>
              </w:rPr>
              <w:t>Inhibidor de la tirosina cinasa</w:t>
            </w:r>
          </w:p>
        </w:tc>
        <w:tc>
          <w:tcPr>
            <w:tcW w:w="850" w:type="dxa"/>
          </w:tcPr>
          <w:p w:rsidR="00810425" w:rsidRDefault="00810425" w:rsidP="00C11C9E">
            <w:pPr>
              <w:jc w:val="both"/>
              <w:rPr>
                <w:rFonts w:ascii="Arial" w:hAnsi="Arial" w:cs="Arial"/>
                <w:sz w:val="16"/>
                <w:szCs w:val="16"/>
              </w:rPr>
            </w:pPr>
          </w:p>
          <w:p w:rsidR="00315400" w:rsidRPr="00035BF7" w:rsidRDefault="00315400" w:rsidP="00C11C9E">
            <w:pPr>
              <w:jc w:val="both"/>
              <w:rPr>
                <w:rFonts w:ascii="Arial" w:hAnsi="Arial" w:cs="Arial"/>
                <w:sz w:val="16"/>
                <w:szCs w:val="16"/>
              </w:rPr>
            </w:pPr>
            <w:r>
              <w:rPr>
                <w:rFonts w:ascii="Arial" w:hAnsi="Arial" w:cs="Arial"/>
                <w:sz w:val="16"/>
                <w:szCs w:val="16"/>
              </w:rPr>
              <w:t xml:space="preserve">Oral </w:t>
            </w:r>
          </w:p>
        </w:tc>
        <w:tc>
          <w:tcPr>
            <w:tcW w:w="2383" w:type="dxa"/>
          </w:tcPr>
          <w:p w:rsidR="0045504C" w:rsidRDefault="0045504C" w:rsidP="00C11C9E">
            <w:pPr>
              <w:jc w:val="both"/>
              <w:rPr>
                <w:rFonts w:ascii="Arial" w:hAnsi="Arial" w:cs="Arial"/>
                <w:sz w:val="16"/>
                <w:szCs w:val="16"/>
              </w:rPr>
            </w:pPr>
          </w:p>
          <w:p w:rsidR="00315400" w:rsidRDefault="00315400" w:rsidP="00C11C9E">
            <w:pPr>
              <w:jc w:val="both"/>
              <w:rPr>
                <w:rFonts w:ascii="Arial" w:hAnsi="Arial" w:cs="Arial"/>
                <w:sz w:val="16"/>
                <w:szCs w:val="16"/>
              </w:rPr>
            </w:pPr>
            <w:r>
              <w:rPr>
                <w:rFonts w:ascii="Arial" w:hAnsi="Arial" w:cs="Arial"/>
                <w:sz w:val="16"/>
                <w:szCs w:val="16"/>
              </w:rPr>
              <w:t xml:space="preserve">Frecuentes: dolor de pecho, fatiga, fiebre, dolor de cabeza, insomnio, mareos, depresión, erupción, pruritis, </w:t>
            </w:r>
            <w:r w:rsidR="00B86E28">
              <w:rPr>
                <w:rFonts w:ascii="Arial" w:hAnsi="Arial" w:cs="Arial"/>
                <w:sz w:val="16"/>
                <w:szCs w:val="16"/>
              </w:rPr>
              <w:t>retención de líquidos/edema, derrame pleural/pericárdico, edema pulmonar, hipocalcemia, náusea, vómito, diarrea, estreñimiento, aumento de peso, mielosupresión, hepatotoxicidad, dolor musculoesquelético, disnea con tos y sudores nocturnos.</w:t>
            </w:r>
          </w:p>
          <w:p w:rsidR="00B86E28" w:rsidRPr="00035BF7" w:rsidRDefault="00B86E28" w:rsidP="00C11C9E">
            <w:pPr>
              <w:jc w:val="both"/>
              <w:rPr>
                <w:rFonts w:ascii="Arial" w:hAnsi="Arial" w:cs="Arial"/>
                <w:sz w:val="16"/>
                <w:szCs w:val="16"/>
              </w:rPr>
            </w:pPr>
            <w:r>
              <w:rPr>
                <w:rFonts w:ascii="Arial" w:hAnsi="Arial" w:cs="Arial"/>
                <w:sz w:val="16"/>
                <w:szCs w:val="16"/>
              </w:rPr>
              <w:t>Raros: hemorragia del sistema nervioso central, parestesia, visión borrosa, conjuntivitis, nefrotoxicidad, síndrome tipo gripe.</w:t>
            </w:r>
          </w:p>
        </w:tc>
        <w:tc>
          <w:tcPr>
            <w:tcW w:w="1706" w:type="dxa"/>
          </w:tcPr>
          <w:p w:rsidR="00315400" w:rsidRDefault="00315400" w:rsidP="00C11C9E">
            <w:pPr>
              <w:jc w:val="both"/>
              <w:rPr>
                <w:rFonts w:ascii="Arial" w:hAnsi="Arial" w:cs="Arial"/>
                <w:sz w:val="16"/>
                <w:szCs w:val="16"/>
              </w:rPr>
            </w:pPr>
          </w:p>
          <w:p w:rsidR="0045504C" w:rsidRPr="00035BF7" w:rsidRDefault="00621D0A" w:rsidP="00C11C9E">
            <w:pPr>
              <w:jc w:val="both"/>
              <w:rPr>
                <w:rFonts w:ascii="Arial" w:hAnsi="Arial" w:cs="Arial"/>
                <w:sz w:val="16"/>
                <w:szCs w:val="16"/>
              </w:rPr>
            </w:pPr>
            <w:r>
              <w:rPr>
                <w:rFonts w:ascii="Arial" w:hAnsi="Arial" w:cs="Arial"/>
                <w:sz w:val="16"/>
                <w:szCs w:val="16"/>
              </w:rPr>
              <w:t>Tomar con los alimentos y un vaso grande con agua; si es necesario abrir la cápsula, verter el contenido en agua o jugo de manzana y asegurarse de que se disuelva.</w:t>
            </w:r>
          </w:p>
        </w:tc>
        <w:tc>
          <w:tcPr>
            <w:tcW w:w="5550" w:type="dxa"/>
          </w:tcPr>
          <w:p w:rsidR="00315400" w:rsidRDefault="00315400" w:rsidP="00621D0A">
            <w:pPr>
              <w:jc w:val="both"/>
              <w:rPr>
                <w:rFonts w:ascii="Arial" w:hAnsi="Arial" w:cs="Arial"/>
                <w:sz w:val="16"/>
                <w:szCs w:val="16"/>
              </w:rPr>
            </w:pPr>
          </w:p>
          <w:p w:rsidR="00621D0A" w:rsidRDefault="00621D0A" w:rsidP="00621D0A">
            <w:pPr>
              <w:jc w:val="both"/>
              <w:rPr>
                <w:rFonts w:ascii="Arial" w:hAnsi="Arial" w:cs="Arial"/>
                <w:sz w:val="16"/>
                <w:szCs w:val="16"/>
              </w:rPr>
            </w:pPr>
            <w:r>
              <w:rPr>
                <w:rFonts w:ascii="Arial" w:hAnsi="Arial" w:cs="Arial"/>
                <w:sz w:val="16"/>
                <w:szCs w:val="16"/>
              </w:rPr>
              <w:t>Monitorear para detectar retención de líquidos.</w:t>
            </w:r>
          </w:p>
          <w:p w:rsidR="00621D0A" w:rsidRDefault="00621D0A" w:rsidP="00621D0A">
            <w:pPr>
              <w:jc w:val="both"/>
              <w:rPr>
                <w:rFonts w:ascii="Arial" w:hAnsi="Arial" w:cs="Arial"/>
                <w:sz w:val="16"/>
                <w:szCs w:val="16"/>
              </w:rPr>
            </w:pPr>
            <w:r>
              <w:rPr>
                <w:rFonts w:ascii="Arial" w:hAnsi="Arial" w:cs="Arial"/>
                <w:sz w:val="16"/>
                <w:szCs w:val="16"/>
              </w:rPr>
              <w:t>Pesar con frecuencia.</w:t>
            </w:r>
          </w:p>
          <w:p w:rsidR="006D21CA" w:rsidRPr="00035BF7" w:rsidRDefault="00621D0A" w:rsidP="00621D0A">
            <w:pPr>
              <w:jc w:val="both"/>
              <w:rPr>
                <w:rFonts w:ascii="Arial" w:hAnsi="Arial" w:cs="Arial"/>
                <w:sz w:val="16"/>
                <w:szCs w:val="16"/>
              </w:rPr>
            </w:pPr>
            <w:r>
              <w:rPr>
                <w:rFonts w:ascii="Arial" w:hAnsi="Arial" w:cs="Arial"/>
                <w:sz w:val="16"/>
                <w:szCs w:val="16"/>
              </w:rPr>
              <w:t>Enseñar a las personas a cargo del cuidado del paciente a usar</w:t>
            </w:r>
            <w:r w:rsidR="00B86E28">
              <w:rPr>
                <w:rFonts w:ascii="Arial" w:hAnsi="Arial" w:cs="Arial"/>
                <w:sz w:val="16"/>
                <w:szCs w:val="16"/>
              </w:rPr>
              <w:t xml:space="preserve"> guantes para manipular el medicamento.</w:t>
            </w:r>
          </w:p>
        </w:tc>
      </w:tr>
      <w:tr w:rsidR="0045504C" w:rsidTr="00810425">
        <w:tc>
          <w:tcPr>
            <w:tcW w:w="1242" w:type="dxa"/>
          </w:tcPr>
          <w:p w:rsidR="006D21CA" w:rsidRDefault="006D21CA" w:rsidP="00C11C9E">
            <w:pPr>
              <w:jc w:val="both"/>
              <w:rPr>
                <w:rFonts w:ascii="Arial" w:hAnsi="Arial" w:cs="Arial"/>
                <w:sz w:val="16"/>
                <w:szCs w:val="16"/>
              </w:rPr>
            </w:pPr>
          </w:p>
          <w:p w:rsidR="00B86E28" w:rsidRDefault="00B86E28" w:rsidP="00C11C9E">
            <w:pPr>
              <w:jc w:val="both"/>
              <w:rPr>
                <w:rFonts w:ascii="Arial" w:hAnsi="Arial" w:cs="Arial"/>
                <w:sz w:val="16"/>
                <w:szCs w:val="16"/>
              </w:rPr>
            </w:pPr>
            <w:r>
              <w:rPr>
                <w:rFonts w:ascii="Arial" w:hAnsi="Arial" w:cs="Arial"/>
                <w:sz w:val="16"/>
                <w:szCs w:val="16"/>
              </w:rPr>
              <w:t>Irinotecán (Camptosar)</w:t>
            </w:r>
          </w:p>
          <w:p w:rsidR="00B86E28" w:rsidRPr="00035BF7" w:rsidRDefault="00B86E28" w:rsidP="00C11C9E">
            <w:pPr>
              <w:jc w:val="both"/>
              <w:rPr>
                <w:rFonts w:ascii="Arial" w:hAnsi="Arial" w:cs="Arial"/>
                <w:sz w:val="16"/>
                <w:szCs w:val="16"/>
              </w:rPr>
            </w:pPr>
          </w:p>
        </w:tc>
        <w:tc>
          <w:tcPr>
            <w:tcW w:w="1418" w:type="dxa"/>
          </w:tcPr>
          <w:p w:rsidR="006D21CA" w:rsidRDefault="006D21CA" w:rsidP="00C11C9E">
            <w:pPr>
              <w:jc w:val="both"/>
              <w:rPr>
                <w:rFonts w:ascii="Arial" w:hAnsi="Arial" w:cs="Arial"/>
                <w:sz w:val="16"/>
                <w:szCs w:val="16"/>
              </w:rPr>
            </w:pPr>
          </w:p>
          <w:p w:rsidR="00B86E28" w:rsidRPr="00035BF7" w:rsidRDefault="00B86E28" w:rsidP="00C11C9E">
            <w:pPr>
              <w:jc w:val="both"/>
              <w:rPr>
                <w:rFonts w:ascii="Arial" w:hAnsi="Arial" w:cs="Arial"/>
                <w:sz w:val="16"/>
                <w:szCs w:val="16"/>
              </w:rPr>
            </w:pPr>
            <w:r>
              <w:rPr>
                <w:rFonts w:ascii="Arial" w:hAnsi="Arial" w:cs="Arial"/>
                <w:sz w:val="16"/>
                <w:szCs w:val="16"/>
              </w:rPr>
              <w:t>Derivado vegetal</w:t>
            </w:r>
          </w:p>
        </w:tc>
        <w:tc>
          <w:tcPr>
            <w:tcW w:w="850" w:type="dxa"/>
          </w:tcPr>
          <w:p w:rsidR="006D21CA" w:rsidRDefault="006D21CA" w:rsidP="00C11C9E">
            <w:pPr>
              <w:jc w:val="both"/>
              <w:rPr>
                <w:rFonts w:ascii="Arial" w:hAnsi="Arial" w:cs="Arial"/>
                <w:sz w:val="16"/>
                <w:szCs w:val="16"/>
              </w:rPr>
            </w:pPr>
          </w:p>
          <w:p w:rsidR="00B86E28" w:rsidRPr="00035BF7" w:rsidRDefault="00B86E28" w:rsidP="00C11C9E">
            <w:pPr>
              <w:jc w:val="both"/>
              <w:rPr>
                <w:rFonts w:ascii="Arial" w:hAnsi="Arial" w:cs="Arial"/>
                <w:sz w:val="16"/>
                <w:szCs w:val="16"/>
              </w:rPr>
            </w:pPr>
            <w:r>
              <w:rPr>
                <w:rFonts w:ascii="Arial" w:hAnsi="Arial" w:cs="Arial"/>
                <w:sz w:val="16"/>
                <w:szCs w:val="16"/>
              </w:rPr>
              <w:t>IV</w:t>
            </w:r>
          </w:p>
        </w:tc>
        <w:tc>
          <w:tcPr>
            <w:tcW w:w="2383" w:type="dxa"/>
          </w:tcPr>
          <w:p w:rsidR="006D21CA" w:rsidRDefault="006D21CA" w:rsidP="00C11C9E">
            <w:pPr>
              <w:jc w:val="both"/>
              <w:rPr>
                <w:rFonts w:ascii="Arial" w:hAnsi="Arial" w:cs="Arial"/>
                <w:sz w:val="16"/>
                <w:szCs w:val="16"/>
              </w:rPr>
            </w:pPr>
          </w:p>
          <w:p w:rsidR="00D22011" w:rsidRDefault="00B86E28" w:rsidP="00C11C9E">
            <w:pPr>
              <w:jc w:val="both"/>
              <w:rPr>
                <w:rFonts w:ascii="Arial" w:hAnsi="Arial" w:cs="Arial"/>
                <w:sz w:val="16"/>
                <w:szCs w:val="16"/>
              </w:rPr>
            </w:pPr>
            <w:r>
              <w:rPr>
                <w:rFonts w:ascii="Arial" w:hAnsi="Arial" w:cs="Arial"/>
                <w:sz w:val="16"/>
                <w:szCs w:val="16"/>
              </w:rPr>
              <w:t>Frecuentes: diarrea temprana pasajera, nauseas, vómito, dolor abdominal</w:t>
            </w:r>
            <w:r w:rsidR="00D22011">
              <w:rPr>
                <w:rFonts w:ascii="Arial" w:hAnsi="Arial" w:cs="Arial"/>
                <w:sz w:val="16"/>
                <w:szCs w:val="16"/>
              </w:rPr>
              <w:t>, anorexia, fiebre, deshidratación, alopecia, astenia, mielosupresión, diarrea tardía.</w:t>
            </w:r>
          </w:p>
          <w:p w:rsidR="00D22011" w:rsidRDefault="00D22011" w:rsidP="00C11C9E">
            <w:pPr>
              <w:jc w:val="both"/>
              <w:rPr>
                <w:rFonts w:ascii="Arial" w:hAnsi="Arial" w:cs="Arial"/>
                <w:sz w:val="16"/>
                <w:szCs w:val="16"/>
              </w:rPr>
            </w:pPr>
            <w:r>
              <w:rPr>
                <w:rFonts w:ascii="Arial" w:hAnsi="Arial" w:cs="Arial"/>
                <w:sz w:val="16"/>
                <w:szCs w:val="16"/>
              </w:rPr>
              <w:t>Ocasionales: elevación de transaminasas, fosfatasa alcalina, bilirrubina, creatinina, estreñimiento, dolor en el sitio de la infusión.</w:t>
            </w:r>
          </w:p>
          <w:p w:rsidR="00B86E28" w:rsidRDefault="00D22011" w:rsidP="00C11C9E">
            <w:pPr>
              <w:jc w:val="both"/>
              <w:rPr>
                <w:rFonts w:ascii="Arial" w:hAnsi="Arial" w:cs="Arial"/>
                <w:sz w:val="16"/>
                <w:szCs w:val="16"/>
              </w:rPr>
            </w:pPr>
            <w:r>
              <w:rPr>
                <w:rFonts w:ascii="Arial" w:hAnsi="Arial" w:cs="Arial"/>
                <w:sz w:val="16"/>
                <w:szCs w:val="16"/>
              </w:rPr>
              <w:t xml:space="preserve">Raros: dermatitis, temblores, hematuria, hipoproteinemia, glucosuria, mucositis, dolor de cabeza, mareos, desorientación </w:t>
            </w:r>
            <w:r w:rsidR="00B86E28">
              <w:rPr>
                <w:rFonts w:ascii="Arial" w:hAnsi="Arial" w:cs="Arial"/>
                <w:sz w:val="16"/>
                <w:szCs w:val="16"/>
              </w:rPr>
              <w:t xml:space="preserve"> </w:t>
            </w:r>
            <w:r>
              <w:rPr>
                <w:rFonts w:ascii="Arial" w:hAnsi="Arial" w:cs="Arial"/>
                <w:sz w:val="16"/>
                <w:szCs w:val="16"/>
              </w:rPr>
              <w:t>y confusión, sofocos faciales, colitis, infiltrados pulmonares, neumonitis.</w:t>
            </w:r>
          </w:p>
          <w:p w:rsidR="00F8348E" w:rsidRPr="00035BF7" w:rsidRDefault="00F8348E" w:rsidP="00C11C9E">
            <w:pPr>
              <w:jc w:val="both"/>
              <w:rPr>
                <w:rFonts w:ascii="Arial" w:hAnsi="Arial" w:cs="Arial"/>
                <w:sz w:val="16"/>
                <w:szCs w:val="16"/>
              </w:rPr>
            </w:pPr>
          </w:p>
        </w:tc>
        <w:tc>
          <w:tcPr>
            <w:tcW w:w="1706" w:type="dxa"/>
          </w:tcPr>
          <w:p w:rsidR="006D21CA" w:rsidRDefault="006D21CA" w:rsidP="00C11C9E">
            <w:pPr>
              <w:jc w:val="both"/>
              <w:rPr>
                <w:rFonts w:ascii="Arial" w:hAnsi="Arial" w:cs="Arial"/>
                <w:sz w:val="16"/>
                <w:szCs w:val="16"/>
              </w:rPr>
            </w:pPr>
          </w:p>
          <w:p w:rsidR="00D22011" w:rsidRPr="00035BF7" w:rsidRDefault="00D22011" w:rsidP="00C11C9E">
            <w:pPr>
              <w:jc w:val="both"/>
              <w:rPr>
                <w:rFonts w:ascii="Arial" w:hAnsi="Arial" w:cs="Arial"/>
                <w:sz w:val="16"/>
                <w:szCs w:val="16"/>
              </w:rPr>
            </w:pPr>
            <w:r>
              <w:rPr>
                <w:rFonts w:ascii="Arial" w:hAnsi="Arial" w:cs="Arial"/>
                <w:sz w:val="16"/>
                <w:szCs w:val="16"/>
              </w:rPr>
              <w:t>Pueden necesitar medicamentos para controlar la diarrea (atropina para la diarrea temprana, loperamida para la diarrea tardía).</w:t>
            </w:r>
          </w:p>
        </w:tc>
        <w:tc>
          <w:tcPr>
            <w:tcW w:w="5550" w:type="dxa"/>
          </w:tcPr>
          <w:p w:rsidR="0045504C" w:rsidRDefault="0045504C" w:rsidP="00C11C9E">
            <w:pPr>
              <w:jc w:val="both"/>
              <w:rPr>
                <w:rFonts w:ascii="Arial" w:hAnsi="Arial" w:cs="Arial"/>
                <w:sz w:val="16"/>
                <w:szCs w:val="16"/>
              </w:rPr>
            </w:pPr>
          </w:p>
          <w:p w:rsidR="00D22011" w:rsidRDefault="00D22011" w:rsidP="00C11C9E">
            <w:pPr>
              <w:jc w:val="both"/>
              <w:rPr>
                <w:rFonts w:ascii="Arial" w:hAnsi="Arial" w:cs="Arial"/>
                <w:sz w:val="16"/>
                <w:szCs w:val="16"/>
              </w:rPr>
            </w:pPr>
            <w:r>
              <w:rPr>
                <w:rFonts w:ascii="Arial" w:hAnsi="Arial" w:cs="Arial"/>
                <w:sz w:val="16"/>
                <w:szCs w:val="16"/>
              </w:rPr>
              <w:t>Pedir al padre/madre que documente la cantidad</w:t>
            </w:r>
            <w:r w:rsidR="00134D5A">
              <w:rPr>
                <w:rFonts w:ascii="Arial" w:hAnsi="Arial" w:cs="Arial"/>
                <w:sz w:val="16"/>
                <w:szCs w:val="16"/>
              </w:rPr>
              <w:t>, la frecuencia y las características de las heces.</w:t>
            </w:r>
          </w:p>
          <w:p w:rsidR="00134D5A" w:rsidRDefault="00134D5A" w:rsidP="00C11C9E">
            <w:pPr>
              <w:jc w:val="both"/>
              <w:rPr>
                <w:rFonts w:ascii="Arial" w:hAnsi="Arial" w:cs="Arial"/>
                <w:sz w:val="16"/>
                <w:szCs w:val="16"/>
              </w:rPr>
            </w:pPr>
            <w:r>
              <w:rPr>
                <w:rFonts w:ascii="Arial" w:hAnsi="Arial" w:cs="Arial"/>
                <w:sz w:val="16"/>
                <w:szCs w:val="16"/>
              </w:rPr>
              <w:t>Proporcionar los parámetros de cuando llamar al profesional de la salud en caso de aumento en la defecación.</w:t>
            </w:r>
          </w:p>
          <w:p w:rsidR="00134D5A" w:rsidRDefault="00134D5A" w:rsidP="00C11C9E">
            <w:pPr>
              <w:jc w:val="both"/>
              <w:rPr>
                <w:rFonts w:ascii="Arial" w:hAnsi="Arial" w:cs="Arial"/>
                <w:sz w:val="16"/>
                <w:szCs w:val="16"/>
              </w:rPr>
            </w:pPr>
            <w:r>
              <w:rPr>
                <w:rFonts w:ascii="Arial" w:hAnsi="Arial" w:cs="Arial"/>
                <w:sz w:val="16"/>
                <w:szCs w:val="16"/>
              </w:rPr>
              <w:t>Alentar el consumo oral de líquidos con alto contenido de electrolitos.</w:t>
            </w:r>
          </w:p>
          <w:p w:rsidR="00134D5A" w:rsidRPr="00035BF7" w:rsidRDefault="00134D5A" w:rsidP="00C11C9E">
            <w:pPr>
              <w:jc w:val="both"/>
              <w:rPr>
                <w:rFonts w:ascii="Arial" w:hAnsi="Arial" w:cs="Arial"/>
                <w:sz w:val="16"/>
                <w:szCs w:val="16"/>
              </w:rPr>
            </w:pPr>
            <w:r>
              <w:rPr>
                <w:rFonts w:ascii="Arial" w:hAnsi="Arial" w:cs="Arial"/>
                <w:sz w:val="16"/>
                <w:szCs w:val="16"/>
              </w:rPr>
              <w:t>Asegurarse del que el padre/madre cuente con el régimen de tratamiento antidiarreico y los medicamentos apropiados en casa.</w:t>
            </w:r>
          </w:p>
        </w:tc>
      </w:tr>
    </w:tbl>
    <w:p w:rsidR="0045504C" w:rsidRDefault="0045504C" w:rsidP="0045504C">
      <w:pPr>
        <w:jc w:val="both"/>
        <w:rPr>
          <w:rFonts w:ascii="Arial" w:hAnsi="Arial" w:cs="Arial"/>
          <w:sz w:val="24"/>
          <w:szCs w:val="24"/>
        </w:rPr>
      </w:pPr>
    </w:p>
    <w:p w:rsidR="00810425" w:rsidRDefault="00810425" w:rsidP="00810425">
      <w:pPr>
        <w:jc w:val="both"/>
        <w:rPr>
          <w:rFonts w:ascii="Arial" w:hAnsi="Arial" w:cs="Arial"/>
          <w:sz w:val="24"/>
          <w:szCs w:val="24"/>
        </w:rPr>
      </w:pPr>
      <w:r>
        <w:rPr>
          <w:rFonts w:ascii="Arial" w:hAnsi="Arial" w:cs="Arial"/>
          <w:sz w:val="24"/>
          <w:szCs w:val="24"/>
        </w:rPr>
        <w:lastRenderedPageBreak/>
        <w:t>Tabla 1 Agentes quimioterapéuticos</w:t>
      </w:r>
    </w:p>
    <w:p w:rsidR="007A4A23" w:rsidRDefault="007A4A23" w:rsidP="00810425">
      <w:pPr>
        <w:jc w:val="both"/>
        <w:rPr>
          <w:rFonts w:ascii="Arial" w:hAnsi="Arial" w:cs="Arial"/>
          <w:sz w:val="24"/>
          <w:szCs w:val="24"/>
        </w:rPr>
      </w:pPr>
    </w:p>
    <w:tbl>
      <w:tblPr>
        <w:tblStyle w:val="Tablaconcuadrcula"/>
        <w:tblW w:w="0" w:type="auto"/>
        <w:tblLook w:val="04A0" w:firstRow="1" w:lastRow="0" w:firstColumn="1" w:lastColumn="0" w:noHBand="0" w:noVBand="1"/>
      </w:tblPr>
      <w:tblGrid>
        <w:gridCol w:w="1328"/>
        <w:gridCol w:w="1418"/>
        <w:gridCol w:w="849"/>
        <w:gridCol w:w="2408"/>
        <w:gridCol w:w="1706"/>
        <w:gridCol w:w="5513"/>
      </w:tblGrid>
      <w:tr w:rsidR="00215BE4" w:rsidTr="00215BE4">
        <w:tc>
          <w:tcPr>
            <w:tcW w:w="1266" w:type="dxa"/>
          </w:tcPr>
          <w:p w:rsidR="00215BE4" w:rsidRPr="0028732A" w:rsidRDefault="00215BE4" w:rsidP="00864D49">
            <w:pPr>
              <w:jc w:val="both"/>
              <w:rPr>
                <w:rFonts w:ascii="Arial" w:hAnsi="Arial" w:cs="Arial"/>
                <w:sz w:val="20"/>
                <w:szCs w:val="20"/>
              </w:rPr>
            </w:pPr>
            <w:r w:rsidRPr="0028732A">
              <w:rPr>
                <w:rFonts w:ascii="Arial" w:hAnsi="Arial" w:cs="Arial"/>
                <w:sz w:val="20"/>
                <w:szCs w:val="20"/>
              </w:rPr>
              <w:t>fármaco</w:t>
            </w:r>
          </w:p>
        </w:tc>
        <w:tc>
          <w:tcPr>
            <w:tcW w:w="1418" w:type="dxa"/>
          </w:tcPr>
          <w:p w:rsidR="00215BE4" w:rsidRPr="0028732A" w:rsidRDefault="00215BE4" w:rsidP="00864D49">
            <w:pPr>
              <w:jc w:val="both"/>
              <w:rPr>
                <w:rFonts w:ascii="Arial" w:hAnsi="Arial" w:cs="Arial"/>
                <w:sz w:val="20"/>
                <w:szCs w:val="20"/>
              </w:rPr>
            </w:pPr>
            <w:r w:rsidRPr="0028732A">
              <w:rPr>
                <w:rFonts w:ascii="Arial" w:hAnsi="Arial" w:cs="Arial"/>
                <w:sz w:val="20"/>
                <w:szCs w:val="20"/>
              </w:rPr>
              <w:t xml:space="preserve">Clasificación </w:t>
            </w:r>
          </w:p>
        </w:tc>
        <w:tc>
          <w:tcPr>
            <w:tcW w:w="850" w:type="dxa"/>
          </w:tcPr>
          <w:p w:rsidR="00215BE4" w:rsidRPr="0028732A" w:rsidRDefault="00215BE4" w:rsidP="00864D49">
            <w:pPr>
              <w:jc w:val="both"/>
              <w:rPr>
                <w:rFonts w:ascii="Arial" w:hAnsi="Arial" w:cs="Arial"/>
                <w:sz w:val="20"/>
                <w:szCs w:val="20"/>
              </w:rPr>
            </w:pPr>
            <w:r w:rsidRPr="0028732A">
              <w:rPr>
                <w:rFonts w:ascii="Arial" w:hAnsi="Arial" w:cs="Arial"/>
                <w:sz w:val="20"/>
                <w:szCs w:val="20"/>
              </w:rPr>
              <w:t xml:space="preserve">Vía de </w:t>
            </w:r>
            <w:r>
              <w:rPr>
                <w:rFonts w:ascii="Arial" w:hAnsi="Arial" w:cs="Arial"/>
                <w:sz w:val="20"/>
                <w:szCs w:val="20"/>
              </w:rPr>
              <w:t>adm.</w:t>
            </w:r>
            <w:r w:rsidRPr="0028732A">
              <w:rPr>
                <w:rFonts w:ascii="Arial" w:hAnsi="Arial" w:cs="Arial"/>
                <w:sz w:val="20"/>
                <w:szCs w:val="20"/>
              </w:rPr>
              <w:t xml:space="preserve"> </w:t>
            </w:r>
          </w:p>
        </w:tc>
        <w:tc>
          <w:tcPr>
            <w:tcW w:w="2410" w:type="dxa"/>
          </w:tcPr>
          <w:p w:rsidR="00215BE4" w:rsidRPr="0028732A" w:rsidRDefault="00215BE4" w:rsidP="00864D49">
            <w:pPr>
              <w:jc w:val="both"/>
              <w:rPr>
                <w:rFonts w:ascii="Arial" w:hAnsi="Arial" w:cs="Arial"/>
                <w:sz w:val="20"/>
                <w:szCs w:val="20"/>
              </w:rPr>
            </w:pPr>
            <w:r w:rsidRPr="0028732A">
              <w:rPr>
                <w:rFonts w:ascii="Arial" w:hAnsi="Arial" w:cs="Arial"/>
                <w:sz w:val="20"/>
                <w:szCs w:val="20"/>
              </w:rPr>
              <w:t>Efectos secundarios</w:t>
            </w:r>
          </w:p>
        </w:tc>
        <w:tc>
          <w:tcPr>
            <w:tcW w:w="1706" w:type="dxa"/>
          </w:tcPr>
          <w:p w:rsidR="00215BE4" w:rsidRPr="0028732A" w:rsidRDefault="00215BE4" w:rsidP="00864D49">
            <w:pPr>
              <w:jc w:val="both"/>
              <w:rPr>
                <w:rFonts w:ascii="Arial" w:hAnsi="Arial" w:cs="Arial"/>
                <w:sz w:val="20"/>
                <w:szCs w:val="20"/>
              </w:rPr>
            </w:pPr>
            <w:r w:rsidRPr="0028732A">
              <w:rPr>
                <w:rFonts w:ascii="Arial" w:hAnsi="Arial" w:cs="Arial"/>
                <w:sz w:val="20"/>
                <w:szCs w:val="20"/>
              </w:rPr>
              <w:t>Consideraciones especiales</w:t>
            </w:r>
          </w:p>
        </w:tc>
        <w:tc>
          <w:tcPr>
            <w:tcW w:w="5525" w:type="dxa"/>
          </w:tcPr>
          <w:p w:rsidR="00215BE4" w:rsidRPr="0028732A" w:rsidRDefault="00215BE4" w:rsidP="00864D49">
            <w:pPr>
              <w:jc w:val="both"/>
              <w:rPr>
                <w:rFonts w:ascii="Arial" w:hAnsi="Arial" w:cs="Arial"/>
                <w:sz w:val="20"/>
                <w:szCs w:val="20"/>
              </w:rPr>
            </w:pPr>
            <w:r w:rsidRPr="0028732A">
              <w:rPr>
                <w:rFonts w:ascii="Arial" w:hAnsi="Arial" w:cs="Arial"/>
                <w:sz w:val="20"/>
                <w:szCs w:val="20"/>
              </w:rPr>
              <w:t>Acciones de enfermería</w:t>
            </w:r>
          </w:p>
        </w:tc>
      </w:tr>
      <w:tr w:rsidR="00215BE4" w:rsidTr="00215BE4">
        <w:tc>
          <w:tcPr>
            <w:tcW w:w="1266" w:type="dxa"/>
          </w:tcPr>
          <w:p w:rsidR="00215BE4" w:rsidRDefault="00215BE4" w:rsidP="00864D49">
            <w:pPr>
              <w:jc w:val="both"/>
              <w:rPr>
                <w:rFonts w:ascii="Arial" w:hAnsi="Arial" w:cs="Arial"/>
                <w:sz w:val="16"/>
                <w:szCs w:val="16"/>
              </w:rPr>
            </w:pPr>
          </w:p>
          <w:p w:rsidR="00215BE4" w:rsidRPr="00035BF7" w:rsidRDefault="00215BE4" w:rsidP="00864D49">
            <w:pPr>
              <w:jc w:val="both"/>
              <w:rPr>
                <w:rFonts w:ascii="Arial" w:hAnsi="Arial" w:cs="Arial"/>
                <w:sz w:val="16"/>
                <w:szCs w:val="16"/>
              </w:rPr>
            </w:pPr>
            <w:r>
              <w:rPr>
                <w:rFonts w:ascii="Arial" w:hAnsi="Arial" w:cs="Arial"/>
                <w:sz w:val="16"/>
                <w:szCs w:val="16"/>
              </w:rPr>
              <w:t>Clorhidrato de mecloretamina (Mustargen)</w:t>
            </w:r>
          </w:p>
        </w:tc>
        <w:tc>
          <w:tcPr>
            <w:tcW w:w="1418" w:type="dxa"/>
          </w:tcPr>
          <w:p w:rsidR="00215BE4" w:rsidRDefault="00215BE4" w:rsidP="00864D49">
            <w:pPr>
              <w:jc w:val="both"/>
              <w:rPr>
                <w:rFonts w:ascii="Arial" w:hAnsi="Arial" w:cs="Arial"/>
                <w:sz w:val="16"/>
                <w:szCs w:val="16"/>
              </w:rPr>
            </w:pPr>
          </w:p>
          <w:p w:rsidR="00215BE4" w:rsidRPr="00035BF7" w:rsidRDefault="00215BE4" w:rsidP="00864D49">
            <w:pPr>
              <w:jc w:val="both"/>
              <w:rPr>
                <w:rFonts w:ascii="Arial" w:hAnsi="Arial" w:cs="Arial"/>
                <w:sz w:val="16"/>
                <w:szCs w:val="16"/>
              </w:rPr>
            </w:pPr>
            <w:r>
              <w:rPr>
                <w:rFonts w:ascii="Arial" w:hAnsi="Arial" w:cs="Arial"/>
                <w:sz w:val="16"/>
                <w:szCs w:val="16"/>
              </w:rPr>
              <w:t xml:space="preserve">Agente alcalinizante </w:t>
            </w:r>
          </w:p>
        </w:tc>
        <w:tc>
          <w:tcPr>
            <w:tcW w:w="850" w:type="dxa"/>
          </w:tcPr>
          <w:p w:rsidR="00215BE4" w:rsidRDefault="00215BE4" w:rsidP="00864D49">
            <w:pPr>
              <w:jc w:val="both"/>
              <w:rPr>
                <w:rFonts w:ascii="Arial" w:hAnsi="Arial" w:cs="Arial"/>
                <w:sz w:val="16"/>
                <w:szCs w:val="16"/>
              </w:rPr>
            </w:pPr>
          </w:p>
          <w:p w:rsidR="00215BE4" w:rsidRPr="00035BF7" w:rsidRDefault="00215BE4" w:rsidP="00864D49">
            <w:pPr>
              <w:jc w:val="both"/>
              <w:rPr>
                <w:rFonts w:ascii="Arial" w:hAnsi="Arial" w:cs="Arial"/>
                <w:sz w:val="16"/>
                <w:szCs w:val="16"/>
              </w:rPr>
            </w:pPr>
            <w:r>
              <w:rPr>
                <w:rFonts w:ascii="Arial" w:hAnsi="Arial" w:cs="Arial"/>
                <w:sz w:val="16"/>
                <w:szCs w:val="16"/>
              </w:rPr>
              <w:t>IV</w:t>
            </w:r>
          </w:p>
        </w:tc>
        <w:tc>
          <w:tcPr>
            <w:tcW w:w="2410" w:type="dxa"/>
          </w:tcPr>
          <w:p w:rsidR="00215BE4" w:rsidRDefault="00215BE4" w:rsidP="00864D49">
            <w:pPr>
              <w:jc w:val="both"/>
              <w:rPr>
                <w:rFonts w:ascii="Arial" w:hAnsi="Arial" w:cs="Arial"/>
                <w:sz w:val="16"/>
                <w:szCs w:val="16"/>
              </w:rPr>
            </w:pPr>
          </w:p>
          <w:p w:rsidR="00215BE4" w:rsidRDefault="00215BE4" w:rsidP="00864D49">
            <w:pPr>
              <w:jc w:val="both"/>
              <w:rPr>
                <w:rFonts w:ascii="Arial" w:hAnsi="Arial" w:cs="Arial"/>
                <w:sz w:val="16"/>
                <w:szCs w:val="16"/>
              </w:rPr>
            </w:pPr>
            <w:r>
              <w:rPr>
                <w:rFonts w:ascii="Arial" w:hAnsi="Arial" w:cs="Arial"/>
                <w:sz w:val="16"/>
                <w:szCs w:val="16"/>
              </w:rPr>
              <w:t xml:space="preserve">Frecuentes: náuseas, vómito, anorexia, gusto metálico, flebitis, alopecia, diarrea, mielosupresión, disfunción gonadal y esterilidad, necrosis en caso de extravasación. </w:t>
            </w:r>
          </w:p>
          <w:p w:rsidR="00215BE4" w:rsidRDefault="00215BE4" w:rsidP="00864D49">
            <w:pPr>
              <w:jc w:val="both"/>
              <w:rPr>
                <w:rFonts w:ascii="Arial" w:hAnsi="Arial" w:cs="Arial"/>
                <w:sz w:val="16"/>
                <w:szCs w:val="16"/>
              </w:rPr>
            </w:pPr>
            <w:r>
              <w:rPr>
                <w:rFonts w:ascii="Arial" w:hAnsi="Arial" w:cs="Arial"/>
                <w:sz w:val="16"/>
                <w:szCs w:val="16"/>
              </w:rPr>
              <w:t>Ocasionales: debilidad, aletargamiento.</w:t>
            </w:r>
          </w:p>
          <w:p w:rsidR="00215BE4" w:rsidRDefault="00215BE4" w:rsidP="00864D49">
            <w:pPr>
              <w:jc w:val="both"/>
              <w:rPr>
                <w:rFonts w:ascii="Arial" w:hAnsi="Arial" w:cs="Arial"/>
                <w:sz w:val="16"/>
                <w:szCs w:val="16"/>
              </w:rPr>
            </w:pPr>
            <w:r>
              <w:rPr>
                <w:rFonts w:ascii="Arial" w:hAnsi="Arial" w:cs="Arial"/>
                <w:sz w:val="16"/>
                <w:szCs w:val="16"/>
              </w:rPr>
              <w:t>Raros: anafilaxis, erupción, fiebre, dolor de cabeza, acúfenos, cáncer secundario.</w:t>
            </w:r>
          </w:p>
          <w:p w:rsidR="00215BE4" w:rsidRPr="00035BF7" w:rsidRDefault="00215BE4" w:rsidP="00864D49">
            <w:pPr>
              <w:jc w:val="both"/>
              <w:rPr>
                <w:rFonts w:ascii="Arial" w:hAnsi="Arial" w:cs="Arial"/>
                <w:sz w:val="16"/>
                <w:szCs w:val="16"/>
              </w:rPr>
            </w:pPr>
          </w:p>
        </w:tc>
        <w:tc>
          <w:tcPr>
            <w:tcW w:w="1706" w:type="dxa"/>
          </w:tcPr>
          <w:p w:rsidR="00215BE4" w:rsidRDefault="00215BE4" w:rsidP="00864D49">
            <w:pPr>
              <w:jc w:val="both"/>
              <w:rPr>
                <w:rFonts w:ascii="Arial" w:hAnsi="Arial" w:cs="Arial"/>
                <w:sz w:val="16"/>
                <w:szCs w:val="16"/>
              </w:rPr>
            </w:pPr>
          </w:p>
          <w:p w:rsidR="00215BE4" w:rsidRPr="00035BF7" w:rsidRDefault="00215BE4" w:rsidP="00864D49">
            <w:pPr>
              <w:jc w:val="both"/>
              <w:rPr>
                <w:rFonts w:ascii="Arial" w:hAnsi="Arial" w:cs="Arial"/>
                <w:sz w:val="16"/>
                <w:szCs w:val="16"/>
              </w:rPr>
            </w:pPr>
            <w:r>
              <w:rPr>
                <w:rFonts w:ascii="Arial" w:hAnsi="Arial" w:cs="Arial"/>
                <w:sz w:val="16"/>
                <w:szCs w:val="16"/>
              </w:rPr>
              <w:t>Puede causar trombosis, flebitis y cambios de color de la vena.</w:t>
            </w:r>
          </w:p>
        </w:tc>
        <w:tc>
          <w:tcPr>
            <w:tcW w:w="5525" w:type="dxa"/>
          </w:tcPr>
          <w:p w:rsidR="00215BE4" w:rsidRDefault="00215BE4" w:rsidP="00864D49">
            <w:pPr>
              <w:jc w:val="both"/>
              <w:rPr>
                <w:rFonts w:ascii="Arial" w:hAnsi="Arial" w:cs="Arial"/>
                <w:sz w:val="16"/>
                <w:szCs w:val="16"/>
              </w:rPr>
            </w:pPr>
          </w:p>
          <w:p w:rsidR="00215BE4" w:rsidRDefault="00215BE4" w:rsidP="00864D49">
            <w:pPr>
              <w:jc w:val="both"/>
              <w:rPr>
                <w:rFonts w:ascii="Arial" w:hAnsi="Arial" w:cs="Arial"/>
                <w:sz w:val="16"/>
                <w:szCs w:val="16"/>
              </w:rPr>
            </w:pPr>
            <w:r>
              <w:rPr>
                <w:rFonts w:ascii="Arial" w:hAnsi="Arial" w:cs="Arial"/>
                <w:sz w:val="16"/>
                <w:szCs w:val="16"/>
              </w:rPr>
              <w:t>Vesicantes: puede causar irritación cutánea con contacto local; usar tiosulfato sódico y hielo en caso de extravasación.</w:t>
            </w:r>
          </w:p>
          <w:p w:rsidR="00215BE4" w:rsidRPr="00035BF7" w:rsidRDefault="00215BE4" w:rsidP="00864D49">
            <w:pPr>
              <w:jc w:val="both"/>
              <w:rPr>
                <w:rFonts w:ascii="Arial" w:hAnsi="Arial" w:cs="Arial"/>
                <w:sz w:val="16"/>
                <w:szCs w:val="16"/>
              </w:rPr>
            </w:pPr>
            <w:r>
              <w:rPr>
                <w:rFonts w:ascii="Arial" w:hAnsi="Arial" w:cs="Arial"/>
                <w:sz w:val="16"/>
                <w:szCs w:val="16"/>
              </w:rPr>
              <w:t>Usar durante la primera hora posterior a la reconstitución.</w:t>
            </w:r>
          </w:p>
        </w:tc>
      </w:tr>
      <w:tr w:rsidR="00215BE4" w:rsidTr="00215BE4">
        <w:tc>
          <w:tcPr>
            <w:tcW w:w="1266" w:type="dxa"/>
          </w:tcPr>
          <w:p w:rsidR="00215BE4" w:rsidRDefault="00215BE4" w:rsidP="00864D49">
            <w:pPr>
              <w:jc w:val="both"/>
              <w:rPr>
                <w:rFonts w:ascii="Arial" w:hAnsi="Arial" w:cs="Arial"/>
                <w:sz w:val="16"/>
                <w:szCs w:val="16"/>
              </w:rPr>
            </w:pPr>
          </w:p>
          <w:p w:rsidR="00215BE4" w:rsidRPr="00035BF7" w:rsidRDefault="00215BE4" w:rsidP="00864D49">
            <w:pPr>
              <w:jc w:val="both"/>
              <w:rPr>
                <w:rFonts w:ascii="Arial" w:hAnsi="Arial" w:cs="Arial"/>
                <w:sz w:val="16"/>
                <w:szCs w:val="16"/>
              </w:rPr>
            </w:pPr>
            <w:r>
              <w:rPr>
                <w:rFonts w:ascii="Arial" w:hAnsi="Arial" w:cs="Arial"/>
                <w:sz w:val="16"/>
                <w:szCs w:val="16"/>
              </w:rPr>
              <w:t>Melfalán (Alkeran)</w:t>
            </w:r>
          </w:p>
        </w:tc>
        <w:tc>
          <w:tcPr>
            <w:tcW w:w="1418" w:type="dxa"/>
          </w:tcPr>
          <w:p w:rsidR="00215BE4" w:rsidRDefault="00215BE4" w:rsidP="00864D49">
            <w:pPr>
              <w:jc w:val="both"/>
              <w:rPr>
                <w:rFonts w:ascii="Arial" w:hAnsi="Arial" w:cs="Arial"/>
                <w:sz w:val="16"/>
                <w:szCs w:val="16"/>
              </w:rPr>
            </w:pPr>
          </w:p>
          <w:p w:rsidR="00215BE4" w:rsidRPr="00035BF7" w:rsidRDefault="00215BE4" w:rsidP="00864D49">
            <w:pPr>
              <w:jc w:val="both"/>
              <w:rPr>
                <w:rFonts w:ascii="Arial" w:hAnsi="Arial" w:cs="Arial"/>
                <w:sz w:val="16"/>
                <w:szCs w:val="16"/>
              </w:rPr>
            </w:pPr>
            <w:r>
              <w:rPr>
                <w:rFonts w:ascii="Arial" w:hAnsi="Arial" w:cs="Arial"/>
                <w:sz w:val="16"/>
                <w:szCs w:val="16"/>
              </w:rPr>
              <w:t>Agente alcalinizante</w:t>
            </w:r>
          </w:p>
        </w:tc>
        <w:tc>
          <w:tcPr>
            <w:tcW w:w="850" w:type="dxa"/>
          </w:tcPr>
          <w:p w:rsidR="00215BE4" w:rsidRDefault="00215BE4" w:rsidP="00864D49">
            <w:pPr>
              <w:jc w:val="both"/>
              <w:rPr>
                <w:rFonts w:ascii="Arial" w:hAnsi="Arial" w:cs="Arial"/>
                <w:sz w:val="16"/>
                <w:szCs w:val="16"/>
              </w:rPr>
            </w:pPr>
          </w:p>
          <w:p w:rsidR="00215BE4" w:rsidRPr="00035BF7" w:rsidRDefault="00215BE4" w:rsidP="00864D49">
            <w:pPr>
              <w:jc w:val="both"/>
              <w:rPr>
                <w:rFonts w:ascii="Arial" w:hAnsi="Arial" w:cs="Arial"/>
                <w:sz w:val="16"/>
                <w:szCs w:val="16"/>
              </w:rPr>
            </w:pPr>
            <w:r>
              <w:rPr>
                <w:rFonts w:ascii="Arial" w:hAnsi="Arial" w:cs="Arial"/>
                <w:sz w:val="16"/>
                <w:szCs w:val="16"/>
              </w:rPr>
              <w:t>IV, Oral</w:t>
            </w:r>
          </w:p>
        </w:tc>
        <w:tc>
          <w:tcPr>
            <w:tcW w:w="2410" w:type="dxa"/>
          </w:tcPr>
          <w:p w:rsidR="00215BE4" w:rsidRDefault="00215BE4" w:rsidP="00864D49">
            <w:pPr>
              <w:jc w:val="both"/>
              <w:rPr>
                <w:rFonts w:ascii="Arial" w:hAnsi="Arial" w:cs="Arial"/>
                <w:sz w:val="16"/>
                <w:szCs w:val="16"/>
              </w:rPr>
            </w:pPr>
          </w:p>
          <w:p w:rsidR="00215BE4" w:rsidRDefault="00215BE4" w:rsidP="00864D49">
            <w:pPr>
              <w:jc w:val="both"/>
              <w:rPr>
                <w:rFonts w:ascii="Arial" w:hAnsi="Arial" w:cs="Arial"/>
                <w:sz w:val="16"/>
                <w:szCs w:val="16"/>
              </w:rPr>
            </w:pPr>
            <w:r>
              <w:rPr>
                <w:rFonts w:ascii="Arial" w:hAnsi="Arial" w:cs="Arial"/>
                <w:sz w:val="16"/>
                <w:szCs w:val="16"/>
              </w:rPr>
              <w:t>Frecuentes: anorexia, ulceración si se extravasa, náuseas, vómito, mielosupresión, mucositis, diarrea, alopecia.</w:t>
            </w:r>
          </w:p>
          <w:p w:rsidR="00215BE4" w:rsidRDefault="00215BE4" w:rsidP="00864D49">
            <w:pPr>
              <w:jc w:val="both"/>
              <w:rPr>
                <w:rFonts w:ascii="Arial" w:hAnsi="Arial" w:cs="Arial"/>
                <w:sz w:val="16"/>
                <w:szCs w:val="16"/>
              </w:rPr>
            </w:pPr>
            <w:r>
              <w:rPr>
                <w:rFonts w:ascii="Arial" w:hAnsi="Arial" w:cs="Arial"/>
                <w:sz w:val="16"/>
                <w:szCs w:val="16"/>
              </w:rPr>
              <w:t>Ocasionales: aletargamiento.</w:t>
            </w:r>
          </w:p>
          <w:p w:rsidR="00215BE4" w:rsidRPr="00035BF7" w:rsidRDefault="00215BE4" w:rsidP="00864D49">
            <w:pPr>
              <w:jc w:val="both"/>
              <w:rPr>
                <w:rFonts w:ascii="Arial" w:hAnsi="Arial" w:cs="Arial"/>
                <w:sz w:val="16"/>
                <w:szCs w:val="16"/>
              </w:rPr>
            </w:pPr>
            <w:r>
              <w:rPr>
                <w:rFonts w:ascii="Arial" w:hAnsi="Arial" w:cs="Arial"/>
                <w:sz w:val="16"/>
                <w:szCs w:val="16"/>
              </w:rPr>
              <w:t>Raros: hipotensión, diaforesis, reacción de hipersensibilidad, fibrosis pulmonar, esterilidad, cáncer secundario.</w:t>
            </w:r>
          </w:p>
        </w:tc>
        <w:tc>
          <w:tcPr>
            <w:tcW w:w="1706" w:type="dxa"/>
          </w:tcPr>
          <w:p w:rsidR="00215BE4" w:rsidRDefault="00215BE4" w:rsidP="00864D49">
            <w:pPr>
              <w:jc w:val="both"/>
              <w:rPr>
                <w:rFonts w:ascii="Arial" w:hAnsi="Arial" w:cs="Arial"/>
                <w:sz w:val="16"/>
                <w:szCs w:val="16"/>
              </w:rPr>
            </w:pPr>
          </w:p>
          <w:p w:rsidR="00215BE4" w:rsidRDefault="00215BE4" w:rsidP="00864D49">
            <w:pPr>
              <w:jc w:val="both"/>
              <w:rPr>
                <w:rFonts w:ascii="Arial" w:hAnsi="Arial" w:cs="Arial"/>
                <w:sz w:val="16"/>
                <w:szCs w:val="16"/>
              </w:rPr>
            </w:pPr>
            <w:r>
              <w:rPr>
                <w:rFonts w:ascii="Arial" w:hAnsi="Arial" w:cs="Arial"/>
                <w:sz w:val="16"/>
                <w:szCs w:val="16"/>
              </w:rPr>
              <w:t>Hidratación durante las 24 horas posteriores a la administración de la dosis IV.</w:t>
            </w:r>
          </w:p>
          <w:p w:rsidR="00215BE4" w:rsidRPr="00035BF7" w:rsidRDefault="00215BE4" w:rsidP="00864D49">
            <w:pPr>
              <w:jc w:val="both"/>
              <w:rPr>
                <w:rFonts w:ascii="Arial" w:hAnsi="Arial" w:cs="Arial"/>
                <w:sz w:val="16"/>
                <w:szCs w:val="16"/>
              </w:rPr>
            </w:pPr>
            <w:r>
              <w:rPr>
                <w:rFonts w:ascii="Arial" w:hAnsi="Arial" w:cs="Arial"/>
                <w:sz w:val="16"/>
                <w:szCs w:val="16"/>
              </w:rPr>
              <w:t>Se puede administrar furosemida para mantener la eliminación de la orina después de la administración de la dosis IV.</w:t>
            </w:r>
          </w:p>
        </w:tc>
        <w:tc>
          <w:tcPr>
            <w:tcW w:w="5525" w:type="dxa"/>
          </w:tcPr>
          <w:p w:rsidR="00215BE4" w:rsidRDefault="00215BE4" w:rsidP="00864D49">
            <w:pPr>
              <w:jc w:val="both"/>
              <w:rPr>
                <w:rFonts w:ascii="Arial" w:hAnsi="Arial" w:cs="Arial"/>
                <w:sz w:val="16"/>
                <w:szCs w:val="16"/>
              </w:rPr>
            </w:pPr>
          </w:p>
          <w:p w:rsidR="00215BE4" w:rsidRDefault="00215BE4" w:rsidP="00864D49">
            <w:pPr>
              <w:jc w:val="both"/>
              <w:rPr>
                <w:rFonts w:ascii="Arial" w:hAnsi="Arial" w:cs="Arial"/>
                <w:sz w:val="16"/>
                <w:szCs w:val="16"/>
              </w:rPr>
            </w:pPr>
            <w:r>
              <w:rPr>
                <w:rFonts w:ascii="Arial" w:hAnsi="Arial" w:cs="Arial"/>
                <w:sz w:val="16"/>
                <w:szCs w:val="16"/>
              </w:rPr>
              <w:t>Tomar la dosis diaria a la misma hora.</w:t>
            </w:r>
          </w:p>
          <w:p w:rsidR="00215BE4" w:rsidRDefault="00215BE4" w:rsidP="00864D49">
            <w:pPr>
              <w:jc w:val="both"/>
              <w:rPr>
                <w:rFonts w:ascii="Arial" w:hAnsi="Arial" w:cs="Arial"/>
                <w:sz w:val="16"/>
                <w:szCs w:val="16"/>
              </w:rPr>
            </w:pPr>
            <w:r>
              <w:rPr>
                <w:rFonts w:ascii="Arial" w:hAnsi="Arial" w:cs="Arial"/>
                <w:sz w:val="16"/>
                <w:szCs w:val="16"/>
              </w:rPr>
              <w:t>Tomar la dosis diaria con el estómago vacío.</w:t>
            </w:r>
          </w:p>
          <w:p w:rsidR="00215BE4" w:rsidRDefault="00215BE4" w:rsidP="00864D49">
            <w:pPr>
              <w:jc w:val="both"/>
              <w:rPr>
                <w:rFonts w:ascii="Arial" w:hAnsi="Arial" w:cs="Arial"/>
                <w:sz w:val="16"/>
                <w:szCs w:val="16"/>
              </w:rPr>
            </w:pPr>
            <w:r>
              <w:rPr>
                <w:rFonts w:ascii="Arial" w:hAnsi="Arial" w:cs="Arial"/>
                <w:sz w:val="16"/>
                <w:szCs w:val="16"/>
              </w:rPr>
              <w:t>Mantener una hidratación adecuada.</w:t>
            </w:r>
          </w:p>
          <w:p w:rsidR="00215BE4" w:rsidRPr="00035BF7" w:rsidRDefault="00215BE4" w:rsidP="00864D49">
            <w:pPr>
              <w:jc w:val="both"/>
              <w:rPr>
                <w:rFonts w:ascii="Arial" w:hAnsi="Arial" w:cs="Arial"/>
                <w:sz w:val="16"/>
                <w:szCs w:val="16"/>
              </w:rPr>
            </w:pPr>
            <w:r>
              <w:rPr>
                <w:rFonts w:ascii="Arial" w:hAnsi="Arial" w:cs="Arial"/>
                <w:sz w:val="16"/>
                <w:szCs w:val="16"/>
              </w:rPr>
              <w:t>Estabilidad muy corta, asegurarse de cronometrar la infusión con la farmacia.</w:t>
            </w:r>
          </w:p>
        </w:tc>
      </w:tr>
      <w:tr w:rsidR="00215BE4" w:rsidTr="00215BE4">
        <w:tc>
          <w:tcPr>
            <w:tcW w:w="1266" w:type="dxa"/>
          </w:tcPr>
          <w:p w:rsidR="00215BE4" w:rsidRDefault="00215BE4" w:rsidP="00810425">
            <w:pPr>
              <w:jc w:val="both"/>
              <w:rPr>
                <w:rFonts w:ascii="Arial" w:hAnsi="Arial" w:cs="Arial"/>
                <w:sz w:val="16"/>
                <w:szCs w:val="16"/>
              </w:rPr>
            </w:pPr>
          </w:p>
          <w:p w:rsidR="00215BE4" w:rsidRPr="00215BE4" w:rsidRDefault="00215BE4" w:rsidP="00810425">
            <w:pPr>
              <w:jc w:val="both"/>
              <w:rPr>
                <w:rFonts w:ascii="Arial" w:hAnsi="Arial" w:cs="Arial"/>
                <w:sz w:val="16"/>
                <w:szCs w:val="16"/>
              </w:rPr>
            </w:pPr>
            <w:r>
              <w:rPr>
                <w:rFonts w:ascii="Arial" w:hAnsi="Arial" w:cs="Arial"/>
                <w:sz w:val="16"/>
                <w:szCs w:val="16"/>
              </w:rPr>
              <w:t>Mercaptopurina (purinethop)</w:t>
            </w:r>
          </w:p>
        </w:tc>
        <w:tc>
          <w:tcPr>
            <w:tcW w:w="1418" w:type="dxa"/>
          </w:tcPr>
          <w:p w:rsidR="00215BE4" w:rsidRDefault="00215BE4" w:rsidP="00810425">
            <w:pPr>
              <w:jc w:val="both"/>
              <w:rPr>
                <w:rFonts w:ascii="Arial" w:hAnsi="Arial" w:cs="Arial"/>
                <w:sz w:val="16"/>
                <w:szCs w:val="16"/>
              </w:rPr>
            </w:pPr>
          </w:p>
          <w:p w:rsidR="00215BE4" w:rsidRPr="00215BE4" w:rsidRDefault="00EE32DA" w:rsidP="00810425">
            <w:pPr>
              <w:jc w:val="both"/>
              <w:rPr>
                <w:rFonts w:ascii="Arial" w:hAnsi="Arial" w:cs="Arial"/>
                <w:sz w:val="16"/>
                <w:szCs w:val="16"/>
              </w:rPr>
            </w:pPr>
            <w:r>
              <w:rPr>
                <w:rFonts w:ascii="Arial" w:hAnsi="Arial" w:cs="Arial"/>
                <w:sz w:val="16"/>
                <w:szCs w:val="16"/>
              </w:rPr>
              <w:t>Antimetabolito</w:t>
            </w:r>
          </w:p>
        </w:tc>
        <w:tc>
          <w:tcPr>
            <w:tcW w:w="850" w:type="dxa"/>
          </w:tcPr>
          <w:p w:rsidR="00215BE4" w:rsidRDefault="00215BE4" w:rsidP="00810425">
            <w:pPr>
              <w:jc w:val="both"/>
              <w:rPr>
                <w:rFonts w:ascii="Arial" w:hAnsi="Arial" w:cs="Arial"/>
                <w:sz w:val="16"/>
                <w:szCs w:val="16"/>
              </w:rPr>
            </w:pPr>
          </w:p>
          <w:p w:rsidR="00F76072" w:rsidRPr="00215BE4" w:rsidRDefault="00F76072" w:rsidP="00810425">
            <w:pPr>
              <w:jc w:val="both"/>
              <w:rPr>
                <w:rFonts w:ascii="Arial" w:hAnsi="Arial" w:cs="Arial"/>
                <w:sz w:val="16"/>
                <w:szCs w:val="16"/>
              </w:rPr>
            </w:pPr>
            <w:r>
              <w:rPr>
                <w:rFonts w:ascii="Arial" w:hAnsi="Arial" w:cs="Arial"/>
                <w:sz w:val="16"/>
                <w:szCs w:val="16"/>
              </w:rPr>
              <w:t>Oral</w:t>
            </w:r>
          </w:p>
        </w:tc>
        <w:tc>
          <w:tcPr>
            <w:tcW w:w="2410" w:type="dxa"/>
          </w:tcPr>
          <w:p w:rsidR="00215BE4" w:rsidRDefault="00215BE4" w:rsidP="00810425">
            <w:pPr>
              <w:jc w:val="both"/>
              <w:rPr>
                <w:rFonts w:ascii="Arial" w:hAnsi="Arial" w:cs="Arial"/>
                <w:sz w:val="16"/>
                <w:szCs w:val="16"/>
              </w:rPr>
            </w:pPr>
          </w:p>
          <w:p w:rsidR="00F76072" w:rsidRDefault="00F76072" w:rsidP="00810425">
            <w:pPr>
              <w:jc w:val="both"/>
              <w:rPr>
                <w:rFonts w:ascii="Arial" w:hAnsi="Arial" w:cs="Arial"/>
                <w:sz w:val="16"/>
                <w:szCs w:val="16"/>
              </w:rPr>
            </w:pPr>
            <w:r>
              <w:rPr>
                <w:rFonts w:ascii="Arial" w:hAnsi="Arial" w:cs="Arial"/>
                <w:sz w:val="16"/>
                <w:szCs w:val="16"/>
              </w:rPr>
              <w:t>Frecuentes: mielosupresión.</w:t>
            </w:r>
          </w:p>
          <w:p w:rsidR="00F76072" w:rsidRDefault="00F76072" w:rsidP="00810425">
            <w:pPr>
              <w:jc w:val="both"/>
              <w:rPr>
                <w:rFonts w:ascii="Arial" w:hAnsi="Arial" w:cs="Arial"/>
                <w:sz w:val="16"/>
                <w:szCs w:val="16"/>
              </w:rPr>
            </w:pPr>
            <w:r>
              <w:rPr>
                <w:rFonts w:ascii="Arial" w:hAnsi="Arial" w:cs="Arial"/>
                <w:sz w:val="16"/>
                <w:szCs w:val="16"/>
              </w:rPr>
              <w:t>Ocasionales: anorexia, náuseas, vómito, diarrea, mucositis.</w:t>
            </w:r>
          </w:p>
          <w:p w:rsidR="00F76072" w:rsidRDefault="00F76072" w:rsidP="00810425">
            <w:pPr>
              <w:jc w:val="both"/>
              <w:rPr>
                <w:rFonts w:ascii="Arial" w:hAnsi="Arial" w:cs="Arial"/>
                <w:sz w:val="16"/>
                <w:szCs w:val="16"/>
              </w:rPr>
            </w:pPr>
            <w:r>
              <w:rPr>
                <w:rFonts w:ascii="Arial" w:hAnsi="Arial" w:cs="Arial"/>
                <w:sz w:val="16"/>
                <w:szCs w:val="16"/>
              </w:rPr>
              <w:t>Raros: anafilaxis, urticaria, fibrosis hepática, hiperbilirrubinemia.</w:t>
            </w:r>
          </w:p>
          <w:p w:rsidR="00F8348E" w:rsidRPr="00215BE4" w:rsidRDefault="00F8348E" w:rsidP="00810425">
            <w:pPr>
              <w:jc w:val="both"/>
              <w:rPr>
                <w:rFonts w:ascii="Arial" w:hAnsi="Arial" w:cs="Arial"/>
                <w:sz w:val="16"/>
                <w:szCs w:val="16"/>
              </w:rPr>
            </w:pPr>
          </w:p>
        </w:tc>
        <w:tc>
          <w:tcPr>
            <w:tcW w:w="1706" w:type="dxa"/>
          </w:tcPr>
          <w:p w:rsidR="00215BE4" w:rsidRDefault="00215BE4" w:rsidP="00810425">
            <w:pPr>
              <w:jc w:val="both"/>
              <w:rPr>
                <w:rFonts w:ascii="Arial" w:hAnsi="Arial" w:cs="Arial"/>
                <w:sz w:val="16"/>
                <w:szCs w:val="16"/>
              </w:rPr>
            </w:pPr>
          </w:p>
          <w:p w:rsidR="00F76072" w:rsidRPr="00215BE4" w:rsidRDefault="00F76072" w:rsidP="00810425">
            <w:pPr>
              <w:jc w:val="both"/>
              <w:rPr>
                <w:rFonts w:ascii="Arial" w:hAnsi="Arial" w:cs="Arial"/>
                <w:sz w:val="16"/>
                <w:szCs w:val="16"/>
              </w:rPr>
            </w:pPr>
            <w:r>
              <w:rPr>
                <w:rFonts w:ascii="Arial" w:hAnsi="Arial" w:cs="Arial"/>
                <w:sz w:val="16"/>
                <w:szCs w:val="16"/>
              </w:rPr>
              <w:t>Reducir la dosis oral al 75% si se administra con alopurinol</w:t>
            </w:r>
          </w:p>
        </w:tc>
        <w:tc>
          <w:tcPr>
            <w:tcW w:w="5525" w:type="dxa"/>
          </w:tcPr>
          <w:p w:rsidR="00215BE4" w:rsidRDefault="00215BE4" w:rsidP="00810425">
            <w:pPr>
              <w:jc w:val="both"/>
              <w:rPr>
                <w:rFonts w:ascii="Arial" w:hAnsi="Arial" w:cs="Arial"/>
                <w:sz w:val="16"/>
                <w:szCs w:val="16"/>
              </w:rPr>
            </w:pPr>
          </w:p>
          <w:p w:rsidR="00F76072" w:rsidRDefault="00F76072" w:rsidP="00810425">
            <w:pPr>
              <w:jc w:val="both"/>
              <w:rPr>
                <w:rFonts w:ascii="Arial" w:hAnsi="Arial" w:cs="Arial"/>
                <w:sz w:val="16"/>
                <w:szCs w:val="16"/>
              </w:rPr>
            </w:pPr>
            <w:r>
              <w:rPr>
                <w:rFonts w:ascii="Arial" w:hAnsi="Arial" w:cs="Arial"/>
                <w:sz w:val="16"/>
                <w:szCs w:val="16"/>
              </w:rPr>
              <w:t>Tomar la dosis diaria a una hora fija, de prefe</w:t>
            </w:r>
            <w:r w:rsidR="00EE32DA">
              <w:rPr>
                <w:rFonts w:ascii="Arial" w:hAnsi="Arial" w:cs="Arial"/>
                <w:sz w:val="16"/>
                <w:szCs w:val="16"/>
              </w:rPr>
              <w:t>re</w:t>
            </w:r>
            <w:r>
              <w:rPr>
                <w:rFonts w:ascii="Arial" w:hAnsi="Arial" w:cs="Arial"/>
                <w:sz w:val="16"/>
                <w:szCs w:val="16"/>
              </w:rPr>
              <w:t>ncia a la hora de irse a la cama con el estómago vacío (2 horas después de comer).</w:t>
            </w:r>
          </w:p>
          <w:p w:rsidR="00F76072" w:rsidRPr="00215BE4" w:rsidRDefault="00F76072" w:rsidP="00810425">
            <w:pPr>
              <w:jc w:val="both"/>
              <w:rPr>
                <w:rFonts w:ascii="Arial" w:hAnsi="Arial" w:cs="Arial"/>
                <w:sz w:val="16"/>
                <w:szCs w:val="16"/>
              </w:rPr>
            </w:pPr>
            <w:r>
              <w:rPr>
                <w:rFonts w:ascii="Arial" w:hAnsi="Arial" w:cs="Arial"/>
                <w:sz w:val="16"/>
                <w:szCs w:val="16"/>
              </w:rPr>
              <w:t>La leche y el jugo de pomelo reducen la absorción.</w:t>
            </w:r>
          </w:p>
        </w:tc>
      </w:tr>
    </w:tbl>
    <w:p w:rsidR="007A4A23" w:rsidRDefault="007A4A23" w:rsidP="00810425">
      <w:pPr>
        <w:jc w:val="both"/>
        <w:rPr>
          <w:rFonts w:ascii="Arial" w:hAnsi="Arial" w:cs="Arial"/>
          <w:sz w:val="24"/>
          <w:szCs w:val="24"/>
        </w:rPr>
      </w:pPr>
    </w:p>
    <w:p w:rsidR="00215BE4" w:rsidRDefault="00215BE4" w:rsidP="00810425">
      <w:pPr>
        <w:jc w:val="both"/>
        <w:rPr>
          <w:rFonts w:ascii="Arial" w:hAnsi="Arial" w:cs="Arial"/>
          <w:sz w:val="24"/>
          <w:szCs w:val="24"/>
        </w:rPr>
      </w:pPr>
    </w:p>
    <w:p w:rsidR="00EE32DA" w:rsidRPr="00EE32DA" w:rsidRDefault="00EE32DA" w:rsidP="00EE32DA">
      <w:pPr>
        <w:jc w:val="both"/>
        <w:rPr>
          <w:rFonts w:ascii="Arial" w:hAnsi="Arial" w:cs="Arial"/>
          <w:sz w:val="24"/>
          <w:szCs w:val="24"/>
        </w:rPr>
      </w:pPr>
      <w:r w:rsidRPr="00EE32DA">
        <w:rPr>
          <w:rFonts w:ascii="Arial" w:hAnsi="Arial" w:cs="Arial"/>
          <w:sz w:val="24"/>
          <w:szCs w:val="24"/>
        </w:rPr>
        <w:t>Tabla 1 Agentes quimioterapéuticos</w:t>
      </w:r>
    </w:p>
    <w:tbl>
      <w:tblPr>
        <w:tblStyle w:val="Tablaconcuadrcula"/>
        <w:tblW w:w="0" w:type="auto"/>
        <w:tblLayout w:type="fixed"/>
        <w:tblLook w:val="04A0" w:firstRow="1" w:lastRow="0" w:firstColumn="1" w:lastColumn="0" w:noHBand="0" w:noVBand="1"/>
      </w:tblPr>
      <w:tblGrid>
        <w:gridCol w:w="1242"/>
        <w:gridCol w:w="1418"/>
        <w:gridCol w:w="850"/>
        <w:gridCol w:w="3402"/>
        <w:gridCol w:w="2977"/>
        <w:gridCol w:w="3260"/>
      </w:tblGrid>
      <w:tr w:rsidR="0045504C" w:rsidTr="004821D2">
        <w:tc>
          <w:tcPr>
            <w:tcW w:w="1242" w:type="dxa"/>
          </w:tcPr>
          <w:p w:rsidR="0045504C" w:rsidRPr="0028732A" w:rsidRDefault="0045504C" w:rsidP="00C11C9E">
            <w:pPr>
              <w:jc w:val="both"/>
              <w:rPr>
                <w:rFonts w:ascii="Arial" w:hAnsi="Arial" w:cs="Arial"/>
                <w:sz w:val="20"/>
                <w:szCs w:val="20"/>
              </w:rPr>
            </w:pPr>
            <w:r w:rsidRPr="0028732A">
              <w:rPr>
                <w:rFonts w:ascii="Arial" w:hAnsi="Arial" w:cs="Arial"/>
                <w:sz w:val="20"/>
                <w:szCs w:val="20"/>
              </w:rPr>
              <w:t>fármaco</w:t>
            </w:r>
          </w:p>
        </w:tc>
        <w:tc>
          <w:tcPr>
            <w:tcW w:w="1418" w:type="dxa"/>
          </w:tcPr>
          <w:p w:rsidR="0045504C" w:rsidRPr="0028732A" w:rsidRDefault="0045504C" w:rsidP="00C11C9E">
            <w:pPr>
              <w:jc w:val="both"/>
              <w:rPr>
                <w:rFonts w:ascii="Arial" w:hAnsi="Arial" w:cs="Arial"/>
                <w:sz w:val="20"/>
                <w:szCs w:val="20"/>
              </w:rPr>
            </w:pPr>
            <w:r w:rsidRPr="0028732A">
              <w:rPr>
                <w:rFonts w:ascii="Arial" w:hAnsi="Arial" w:cs="Arial"/>
                <w:sz w:val="20"/>
                <w:szCs w:val="20"/>
              </w:rPr>
              <w:t xml:space="preserve">Clasificación </w:t>
            </w:r>
          </w:p>
        </w:tc>
        <w:tc>
          <w:tcPr>
            <w:tcW w:w="850" w:type="dxa"/>
          </w:tcPr>
          <w:p w:rsidR="0045504C" w:rsidRPr="0028732A" w:rsidRDefault="0045504C" w:rsidP="00C11C9E">
            <w:pPr>
              <w:jc w:val="both"/>
              <w:rPr>
                <w:rFonts w:ascii="Arial" w:hAnsi="Arial" w:cs="Arial"/>
                <w:sz w:val="20"/>
                <w:szCs w:val="20"/>
              </w:rPr>
            </w:pPr>
            <w:r w:rsidRPr="0028732A">
              <w:rPr>
                <w:rFonts w:ascii="Arial" w:hAnsi="Arial" w:cs="Arial"/>
                <w:sz w:val="20"/>
                <w:szCs w:val="20"/>
              </w:rPr>
              <w:t xml:space="preserve">Vía de </w:t>
            </w:r>
            <w:r>
              <w:rPr>
                <w:rFonts w:ascii="Arial" w:hAnsi="Arial" w:cs="Arial"/>
                <w:sz w:val="20"/>
                <w:szCs w:val="20"/>
              </w:rPr>
              <w:t>adm.</w:t>
            </w:r>
            <w:r w:rsidRPr="0028732A">
              <w:rPr>
                <w:rFonts w:ascii="Arial" w:hAnsi="Arial" w:cs="Arial"/>
                <w:sz w:val="20"/>
                <w:szCs w:val="20"/>
              </w:rPr>
              <w:t xml:space="preserve"> </w:t>
            </w:r>
          </w:p>
        </w:tc>
        <w:tc>
          <w:tcPr>
            <w:tcW w:w="3402" w:type="dxa"/>
          </w:tcPr>
          <w:p w:rsidR="0045504C" w:rsidRPr="0028732A" w:rsidRDefault="0045504C" w:rsidP="00C11C9E">
            <w:pPr>
              <w:jc w:val="both"/>
              <w:rPr>
                <w:rFonts w:ascii="Arial" w:hAnsi="Arial" w:cs="Arial"/>
                <w:sz w:val="20"/>
                <w:szCs w:val="20"/>
              </w:rPr>
            </w:pPr>
            <w:r w:rsidRPr="0028732A">
              <w:rPr>
                <w:rFonts w:ascii="Arial" w:hAnsi="Arial" w:cs="Arial"/>
                <w:sz w:val="20"/>
                <w:szCs w:val="20"/>
              </w:rPr>
              <w:t>Efectos secundarios</w:t>
            </w:r>
          </w:p>
        </w:tc>
        <w:tc>
          <w:tcPr>
            <w:tcW w:w="2977" w:type="dxa"/>
          </w:tcPr>
          <w:p w:rsidR="0045504C" w:rsidRPr="0028732A" w:rsidRDefault="0045504C" w:rsidP="00C11C9E">
            <w:pPr>
              <w:jc w:val="both"/>
              <w:rPr>
                <w:rFonts w:ascii="Arial" w:hAnsi="Arial" w:cs="Arial"/>
                <w:sz w:val="20"/>
                <w:szCs w:val="20"/>
              </w:rPr>
            </w:pPr>
            <w:r w:rsidRPr="0028732A">
              <w:rPr>
                <w:rFonts w:ascii="Arial" w:hAnsi="Arial" w:cs="Arial"/>
                <w:sz w:val="20"/>
                <w:szCs w:val="20"/>
              </w:rPr>
              <w:t>Consideraciones especiales</w:t>
            </w:r>
          </w:p>
        </w:tc>
        <w:tc>
          <w:tcPr>
            <w:tcW w:w="3260" w:type="dxa"/>
          </w:tcPr>
          <w:p w:rsidR="0045504C" w:rsidRPr="0028732A" w:rsidRDefault="0045504C" w:rsidP="00C11C9E">
            <w:pPr>
              <w:jc w:val="both"/>
              <w:rPr>
                <w:rFonts w:ascii="Arial" w:hAnsi="Arial" w:cs="Arial"/>
                <w:sz w:val="20"/>
                <w:szCs w:val="20"/>
              </w:rPr>
            </w:pPr>
            <w:r w:rsidRPr="0028732A">
              <w:rPr>
                <w:rFonts w:ascii="Arial" w:hAnsi="Arial" w:cs="Arial"/>
                <w:sz w:val="20"/>
                <w:szCs w:val="20"/>
              </w:rPr>
              <w:t>Acciones de enfermería</w:t>
            </w:r>
          </w:p>
        </w:tc>
      </w:tr>
      <w:tr w:rsidR="0045504C" w:rsidTr="004821D2">
        <w:tc>
          <w:tcPr>
            <w:tcW w:w="1242" w:type="dxa"/>
          </w:tcPr>
          <w:p w:rsidR="00EE32DA" w:rsidRDefault="00EE32DA" w:rsidP="00C11C9E">
            <w:pPr>
              <w:jc w:val="both"/>
              <w:rPr>
                <w:rFonts w:ascii="Arial" w:hAnsi="Arial" w:cs="Arial"/>
                <w:sz w:val="16"/>
                <w:szCs w:val="16"/>
              </w:rPr>
            </w:pPr>
          </w:p>
          <w:p w:rsidR="00134D5A" w:rsidRPr="00035BF7" w:rsidRDefault="00EE32DA" w:rsidP="00C11C9E">
            <w:pPr>
              <w:jc w:val="both"/>
              <w:rPr>
                <w:rFonts w:ascii="Arial" w:hAnsi="Arial" w:cs="Arial"/>
                <w:sz w:val="16"/>
                <w:szCs w:val="16"/>
              </w:rPr>
            </w:pPr>
            <w:r>
              <w:rPr>
                <w:rFonts w:ascii="Arial" w:hAnsi="Arial" w:cs="Arial"/>
                <w:sz w:val="16"/>
                <w:szCs w:val="16"/>
              </w:rPr>
              <w:t>Metotrexato (rheumatrex, trexall, apo-methotrexate</w:t>
            </w:r>
            <w:r w:rsidR="00AD18AC">
              <w:rPr>
                <w:rFonts w:ascii="Arial" w:hAnsi="Arial" w:cs="Arial"/>
                <w:sz w:val="16"/>
                <w:szCs w:val="16"/>
              </w:rPr>
              <w:t>)</w:t>
            </w:r>
          </w:p>
        </w:tc>
        <w:tc>
          <w:tcPr>
            <w:tcW w:w="1418" w:type="dxa"/>
          </w:tcPr>
          <w:p w:rsidR="00134D5A" w:rsidRDefault="00134D5A" w:rsidP="00C11C9E">
            <w:pPr>
              <w:jc w:val="both"/>
              <w:rPr>
                <w:rFonts w:ascii="Arial" w:hAnsi="Arial" w:cs="Arial"/>
                <w:sz w:val="16"/>
                <w:szCs w:val="16"/>
              </w:rPr>
            </w:pPr>
          </w:p>
          <w:p w:rsidR="00EE32DA" w:rsidRPr="00035BF7" w:rsidRDefault="00EE32DA" w:rsidP="00C11C9E">
            <w:pPr>
              <w:jc w:val="both"/>
              <w:rPr>
                <w:rFonts w:ascii="Arial" w:hAnsi="Arial" w:cs="Arial"/>
                <w:sz w:val="16"/>
                <w:szCs w:val="16"/>
              </w:rPr>
            </w:pPr>
            <w:r>
              <w:rPr>
                <w:rFonts w:ascii="Arial" w:hAnsi="Arial" w:cs="Arial"/>
                <w:sz w:val="16"/>
                <w:szCs w:val="16"/>
              </w:rPr>
              <w:t>Antimetabolito</w:t>
            </w:r>
          </w:p>
        </w:tc>
        <w:tc>
          <w:tcPr>
            <w:tcW w:w="850" w:type="dxa"/>
          </w:tcPr>
          <w:p w:rsidR="00134D5A" w:rsidRDefault="00134D5A" w:rsidP="00C11C9E">
            <w:pPr>
              <w:jc w:val="both"/>
              <w:rPr>
                <w:rFonts w:ascii="Arial" w:hAnsi="Arial" w:cs="Arial"/>
                <w:sz w:val="16"/>
                <w:szCs w:val="16"/>
              </w:rPr>
            </w:pPr>
          </w:p>
          <w:p w:rsidR="00EE32DA" w:rsidRDefault="00EE32DA" w:rsidP="00C11C9E">
            <w:pPr>
              <w:jc w:val="both"/>
              <w:rPr>
                <w:rFonts w:ascii="Arial" w:hAnsi="Arial" w:cs="Arial"/>
                <w:sz w:val="16"/>
                <w:szCs w:val="16"/>
              </w:rPr>
            </w:pPr>
            <w:r>
              <w:rPr>
                <w:rFonts w:ascii="Arial" w:hAnsi="Arial" w:cs="Arial"/>
                <w:sz w:val="16"/>
                <w:szCs w:val="16"/>
              </w:rPr>
              <w:t>IV</w:t>
            </w:r>
          </w:p>
          <w:p w:rsidR="00EE32DA" w:rsidRPr="00035BF7" w:rsidRDefault="00EE32DA" w:rsidP="00C11C9E">
            <w:pPr>
              <w:jc w:val="both"/>
              <w:rPr>
                <w:rFonts w:ascii="Arial" w:hAnsi="Arial" w:cs="Arial"/>
                <w:sz w:val="16"/>
                <w:szCs w:val="16"/>
              </w:rPr>
            </w:pPr>
            <w:r>
              <w:rPr>
                <w:rFonts w:ascii="Arial" w:hAnsi="Arial" w:cs="Arial"/>
                <w:sz w:val="16"/>
                <w:szCs w:val="16"/>
              </w:rPr>
              <w:t>IM</w:t>
            </w:r>
            <w:r>
              <w:rPr>
                <w:rFonts w:ascii="Arial" w:hAnsi="Arial" w:cs="Arial"/>
                <w:sz w:val="16"/>
                <w:szCs w:val="16"/>
              </w:rPr>
              <w:br/>
              <w:t>Oral</w:t>
            </w:r>
            <w:r>
              <w:rPr>
                <w:rFonts w:ascii="Arial" w:hAnsi="Arial" w:cs="Arial"/>
                <w:sz w:val="16"/>
                <w:szCs w:val="16"/>
              </w:rPr>
              <w:br/>
              <w:t>IT</w:t>
            </w:r>
          </w:p>
        </w:tc>
        <w:tc>
          <w:tcPr>
            <w:tcW w:w="3402" w:type="dxa"/>
          </w:tcPr>
          <w:p w:rsidR="0045504C" w:rsidRDefault="0045504C" w:rsidP="00C11C9E">
            <w:pPr>
              <w:jc w:val="both"/>
              <w:rPr>
                <w:rFonts w:ascii="Arial" w:hAnsi="Arial" w:cs="Arial"/>
                <w:sz w:val="16"/>
                <w:szCs w:val="16"/>
              </w:rPr>
            </w:pPr>
          </w:p>
          <w:p w:rsidR="00EE32DA" w:rsidRDefault="00EE32DA" w:rsidP="00C11C9E">
            <w:pPr>
              <w:jc w:val="both"/>
              <w:rPr>
                <w:rFonts w:ascii="Arial" w:hAnsi="Arial" w:cs="Arial"/>
                <w:sz w:val="16"/>
                <w:szCs w:val="16"/>
              </w:rPr>
            </w:pPr>
            <w:r>
              <w:rPr>
                <w:rFonts w:ascii="Arial" w:hAnsi="Arial" w:cs="Arial"/>
                <w:sz w:val="16"/>
                <w:szCs w:val="16"/>
              </w:rPr>
              <w:t>Frecuentes: elevaciones en los valores de las pruebas de la función hepática y elevaciones de la bilirrubina.</w:t>
            </w:r>
          </w:p>
          <w:p w:rsidR="00EE32DA" w:rsidRDefault="00EE32DA" w:rsidP="00C11C9E">
            <w:pPr>
              <w:jc w:val="both"/>
              <w:rPr>
                <w:rFonts w:ascii="Arial" w:hAnsi="Arial" w:cs="Arial"/>
                <w:sz w:val="16"/>
                <w:szCs w:val="16"/>
              </w:rPr>
            </w:pPr>
            <w:r>
              <w:rPr>
                <w:rFonts w:ascii="Arial" w:hAnsi="Arial" w:cs="Arial"/>
                <w:sz w:val="16"/>
                <w:szCs w:val="16"/>
              </w:rPr>
              <w:t>Ocasionales: náuseas, vómito, anorexia, diarrea, mielosupresión, estomatitis, fotosensibilidad, dificultad de aprendizaje.</w:t>
            </w:r>
          </w:p>
          <w:p w:rsidR="00EE32DA" w:rsidRDefault="00EE32DA" w:rsidP="00C11C9E">
            <w:pPr>
              <w:jc w:val="both"/>
              <w:rPr>
                <w:rFonts w:ascii="Arial" w:hAnsi="Arial" w:cs="Arial"/>
                <w:sz w:val="16"/>
                <w:szCs w:val="16"/>
              </w:rPr>
            </w:pPr>
            <w:r>
              <w:rPr>
                <w:rFonts w:ascii="Arial" w:hAnsi="Arial" w:cs="Arial"/>
                <w:sz w:val="16"/>
                <w:szCs w:val="16"/>
              </w:rPr>
              <w:t>Raros: mareos, malestar, visión borrosa, reacción alérgica, descamación, rubor y sensibilidad d</w:t>
            </w:r>
            <w:r w:rsidR="0032465D">
              <w:rPr>
                <w:rFonts w:ascii="Arial" w:hAnsi="Arial" w:cs="Arial"/>
                <w:sz w:val="16"/>
                <w:szCs w:val="16"/>
              </w:rPr>
              <w:t>e la piel (especialmente las plantas y palmas), alopecia, foliculitis, toxicidad renal, leucoencefalopatía, convulsiones, neurotoxicidad aguda, daño pulmonar, daño hepático, hiperpigmentación, osteopenia, osteoporosis, osteonecrosis y necrosis de los tejidos blandos, deterioro progresivo del sistema nervioso central.</w:t>
            </w:r>
          </w:p>
          <w:p w:rsidR="0032465D" w:rsidRDefault="0032465D" w:rsidP="00C11C9E">
            <w:pPr>
              <w:jc w:val="both"/>
              <w:rPr>
                <w:rFonts w:ascii="Arial" w:hAnsi="Arial" w:cs="Arial"/>
                <w:sz w:val="16"/>
                <w:szCs w:val="16"/>
              </w:rPr>
            </w:pPr>
            <w:r>
              <w:rPr>
                <w:rFonts w:ascii="Arial" w:hAnsi="Arial" w:cs="Arial"/>
                <w:sz w:val="16"/>
                <w:szCs w:val="16"/>
              </w:rPr>
              <w:t xml:space="preserve">Con la administración IT: náuseas, vómito, pleocitosis, fiebre, convulsiones, </w:t>
            </w:r>
            <w:r w:rsidR="00AD18AC">
              <w:rPr>
                <w:rFonts w:ascii="Arial" w:hAnsi="Arial" w:cs="Arial"/>
                <w:sz w:val="16"/>
                <w:szCs w:val="16"/>
              </w:rPr>
              <w:t>dificultades</w:t>
            </w:r>
            <w:r>
              <w:rPr>
                <w:rFonts w:ascii="Arial" w:hAnsi="Arial" w:cs="Arial"/>
                <w:sz w:val="16"/>
                <w:szCs w:val="16"/>
              </w:rPr>
              <w:t xml:space="preserve"> de aprendizaje, erupción, somnolencia</w:t>
            </w:r>
            <w:r w:rsidR="00AD18AC">
              <w:rPr>
                <w:rFonts w:ascii="Arial" w:hAnsi="Arial" w:cs="Arial"/>
                <w:sz w:val="16"/>
                <w:szCs w:val="16"/>
              </w:rPr>
              <w:t>, meningismo, paresis, mielosupresión, ataxia, leucoencefalopatía, deterioro progresivo del sistema nervioso central.</w:t>
            </w:r>
          </w:p>
          <w:p w:rsidR="00EE32DA" w:rsidRPr="00035BF7" w:rsidRDefault="00EE32DA" w:rsidP="00C11C9E">
            <w:pPr>
              <w:jc w:val="both"/>
              <w:rPr>
                <w:rFonts w:ascii="Arial" w:hAnsi="Arial" w:cs="Arial"/>
                <w:sz w:val="16"/>
                <w:szCs w:val="16"/>
              </w:rPr>
            </w:pPr>
          </w:p>
        </w:tc>
        <w:tc>
          <w:tcPr>
            <w:tcW w:w="2977" w:type="dxa"/>
          </w:tcPr>
          <w:p w:rsidR="00B50B0A" w:rsidRDefault="00B50B0A" w:rsidP="00C11C9E">
            <w:pPr>
              <w:jc w:val="both"/>
              <w:rPr>
                <w:rFonts w:ascii="Arial" w:hAnsi="Arial" w:cs="Arial"/>
                <w:sz w:val="16"/>
                <w:szCs w:val="16"/>
              </w:rPr>
            </w:pPr>
          </w:p>
          <w:p w:rsidR="00AD18AC" w:rsidRDefault="00AD18AC" w:rsidP="00C11C9E">
            <w:pPr>
              <w:jc w:val="both"/>
              <w:rPr>
                <w:rFonts w:ascii="Arial" w:hAnsi="Arial" w:cs="Arial"/>
                <w:sz w:val="16"/>
                <w:szCs w:val="16"/>
              </w:rPr>
            </w:pPr>
            <w:r>
              <w:rPr>
                <w:rFonts w:ascii="Arial" w:hAnsi="Arial" w:cs="Arial"/>
                <w:sz w:val="16"/>
                <w:szCs w:val="16"/>
              </w:rPr>
              <w:t>El deterioro renal aumentará la toxicidad.</w:t>
            </w:r>
          </w:p>
          <w:p w:rsidR="00AD18AC" w:rsidRDefault="00AD18AC" w:rsidP="00C11C9E">
            <w:pPr>
              <w:jc w:val="both"/>
              <w:rPr>
                <w:rFonts w:ascii="Arial" w:hAnsi="Arial" w:cs="Arial"/>
                <w:sz w:val="16"/>
                <w:szCs w:val="16"/>
              </w:rPr>
            </w:pPr>
            <w:r>
              <w:rPr>
                <w:rFonts w:ascii="Arial" w:hAnsi="Arial" w:cs="Arial"/>
                <w:sz w:val="16"/>
                <w:szCs w:val="16"/>
              </w:rPr>
              <w:t>Cuando se administra una dosis de metotrexato intermedia o alta, se administra leucovorin como agente de rescate.</w:t>
            </w:r>
          </w:p>
          <w:p w:rsidR="00AD18AC" w:rsidRDefault="00AD18AC" w:rsidP="00C11C9E">
            <w:pPr>
              <w:jc w:val="both"/>
              <w:rPr>
                <w:rFonts w:ascii="Arial" w:hAnsi="Arial" w:cs="Arial"/>
                <w:sz w:val="16"/>
                <w:szCs w:val="16"/>
              </w:rPr>
            </w:pPr>
            <w:r>
              <w:rPr>
                <w:rFonts w:ascii="Arial" w:hAnsi="Arial" w:cs="Arial"/>
                <w:sz w:val="16"/>
                <w:szCs w:val="16"/>
              </w:rPr>
              <w:t>La hidratación y la determinación de la alcalinidad de la orina se lleva a cabo con infusiones de dosis mayores.</w:t>
            </w:r>
          </w:p>
          <w:p w:rsidR="00AD18AC" w:rsidRDefault="00AD18AC" w:rsidP="00C11C9E">
            <w:pPr>
              <w:jc w:val="both"/>
              <w:rPr>
                <w:rFonts w:ascii="Arial" w:hAnsi="Arial" w:cs="Arial"/>
                <w:sz w:val="16"/>
                <w:szCs w:val="16"/>
              </w:rPr>
            </w:pPr>
            <w:r>
              <w:rPr>
                <w:rFonts w:ascii="Arial" w:hAnsi="Arial" w:cs="Arial"/>
                <w:sz w:val="16"/>
                <w:szCs w:val="16"/>
              </w:rPr>
              <w:t>El metotrexato ingresa fácilmente en los fluidos corporales; es posible que en los pacientes con derrames se retarde la depuración.</w:t>
            </w:r>
          </w:p>
          <w:p w:rsidR="00AD18AC" w:rsidRPr="00035BF7" w:rsidRDefault="00AD18AC" w:rsidP="00C11C9E">
            <w:pPr>
              <w:jc w:val="both"/>
              <w:rPr>
                <w:rFonts w:ascii="Arial" w:hAnsi="Arial" w:cs="Arial"/>
                <w:sz w:val="16"/>
                <w:szCs w:val="16"/>
              </w:rPr>
            </w:pPr>
          </w:p>
        </w:tc>
        <w:tc>
          <w:tcPr>
            <w:tcW w:w="3260" w:type="dxa"/>
          </w:tcPr>
          <w:p w:rsidR="00B50B0A" w:rsidRDefault="00B50B0A" w:rsidP="00C11C9E">
            <w:pPr>
              <w:jc w:val="both"/>
              <w:rPr>
                <w:rFonts w:ascii="Arial" w:hAnsi="Arial" w:cs="Arial"/>
                <w:sz w:val="16"/>
                <w:szCs w:val="16"/>
              </w:rPr>
            </w:pPr>
          </w:p>
          <w:p w:rsidR="00AD18AC" w:rsidRDefault="004821D2" w:rsidP="00C11C9E">
            <w:pPr>
              <w:jc w:val="both"/>
              <w:rPr>
                <w:rFonts w:ascii="Arial" w:hAnsi="Arial" w:cs="Arial"/>
                <w:sz w:val="16"/>
                <w:szCs w:val="16"/>
              </w:rPr>
            </w:pPr>
            <w:r>
              <w:rPr>
                <w:rFonts w:ascii="Arial" w:hAnsi="Arial" w:cs="Arial"/>
                <w:sz w:val="16"/>
                <w:szCs w:val="16"/>
              </w:rPr>
              <w:t>Indicar a los pacientes que usen bloqueador solar; puede ocurrir una quemadura solar grave incluso con dosis bajas.</w:t>
            </w:r>
          </w:p>
          <w:p w:rsidR="004821D2" w:rsidRDefault="004821D2" w:rsidP="00C11C9E">
            <w:pPr>
              <w:jc w:val="both"/>
              <w:rPr>
                <w:rFonts w:ascii="Arial" w:hAnsi="Arial" w:cs="Arial"/>
                <w:sz w:val="16"/>
                <w:szCs w:val="16"/>
              </w:rPr>
            </w:pPr>
            <w:r>
              <w:rPr>
                <w:rFonts w:ascii="Arial" w:hAnsi="Arial" w:cs="Arial"/>
                <w:sz w:val="16"/>
                <w:szCs w:val="16"/>
              </w:rPr>
              <w:t>El leucovorin debe administrarse exactamente a la misma hora.</w:t>
            </w:r>
          </w:p>
          <w:p w:rsidR="004821D2" w:rsidRDefault="004821D2" w:rsidP="00C11C9E">
            <w:pPr>
              <w:jc w:val="both"/>
              <w:rPr>
                <w:rFonts w:ascii="Arial" w:hAnsi="Arial" w:cs="Arial"/>
                <w:sz w:val="16"/>
                <w:szCs w:val="16"/>
              </w:rPr>
            </w:pPr>
            <w:r>
              <w:rPr>
                <w:rFonts w:ascii="Arial" w:hAnsi="Arial" w:cs="Arial"/>
                <w:sz w:val="16"/>
                <w:szCs w:val="16"/>
              </w:rPr>
              <w:t>Evitar vitaminas que contengan ácido fólico para evitar el bloqueo metabólico causado por el metotrexato.</w:t>
            </w:r>
          </w:p>
          <w:p w:rsidR="004821D2" w:rsidRPr="00035BF7" w:rsidRDefault="004821D2" w:rsidP="00C11C9E">
            <w:pPr>
              <w:jc w:val="both"/>
              <w:rPr>
                <w:rFonts w:ascii="Arial" w:hAnsi="Arial" w:cs="Arial"/>
                <w:sz w:val="16"/>
                <w:szCs w:val="16"/>
              </w:rPr>
            </w:pPr>
            <w:r>
              <w:rPr>
                <w:rFonts w:ascii="Arial" w:hAnsi="Arial" w:cs="Arial"/>
                <w:sz w:val="16"/>
                <w:szCs w:val="16"/>
              </w:rPr>
              <w:t>Suspender la profilaxis de trimetoprima (TMP) y sulfametoxazol (SMZ) con dosis altas de metotrexato.</w:t>
            </w:r>
          </w:p>
        </w:tc>
      </w:tr>
      <w:tr w:rsidR="0045504C" w:rsidTr="004821D2">
        <w:tc>
          <w:tcPr>
            <w:tcW w:w="1242" w:type="dxa"/>
          </w:tcPr>
          <w:p w:rsidR="00B50B0A" w:rsidRDefault="00B50B0A" w:rsidP="00C11C9E">
            <w:pPr>
              <w:jc w:val="both"/>
              <w:rPr>
                <w:rFonts w:ascii="Arial" w:hAnsi="Arial" w:cs="Arial"/>
                <w:sz w:val="16"/>
                <w:szCs w:val="16"/>
              </w:rPr>
            </w:pPr>
          </w:p>
          <w:p w:rsidR="0032465D" w:rsidRPr="00035BF7" w:rsidRDefault="004821D2" w:rsidP="00C11C9E">
            <w:pPr>
              <w:jc w:val="both"/>
              <w:rPr>
                <w:rFonts w:ascii="Arial" w:hAnsi="Arial" w:cs="Arial"/>
                <w:sz w:val="16"/>
                <w:szCs w:val="16"/>
              </w:rPr>
            </w:pPr>
            <w:r>
              <w:rPr>
                <w:rFonts w:ascii="Arial" w:hAnsi="Arial" w:cs="Arial"/>
                <w:sz w:val="16"/>
                <w:szCs w:val="16"/>
              </w:rPr>
              <w:t>Mitoxantrona (novantrone)</w:t>
            </w:r>
          </w:p>
        </w:tc>
        <w:tc>
          <w:tcPr>
            <w:tcW w:w="1418" w:type="dxa"/>
          </w:tcPr>
          <w:p w:rsidR="00B50B0A" w:rsidRDefault="00B50B0A" w:rsidP="00C11C9E">
            <w:pPr>
              <w:jc w:val="both"/>
              <w:rPr>
                <w:rFonts w:ascii="Arial" w:hAnsi="Arial" w:cs="Arial"/>
                <w:sz w:val="16"/>
                <w:szCs w:val="16"/>
              </w:rPr>
            </w:pPr>
          </w:p>
          <w:p w:rsidR="004821D2" w:rsidRPr="00035BF7" w:rsidRDefault="004821D2" w:rsidP="00C11C9E">
            <w:pPr>
              <w:jc w:val="both"/>
              <w:rPr>
                <w:rFonts w:ascii="Arial" w:hAnsi="Arial" w:cs="Arial"/>
                <w:sz w:val="16"/>
                <w:szCs w:val="16"/>
              </w:rPr>
            </w:pPr>
            <w:r>
              <w:rPr>
                <w:rFonts w:ascii="Arial" w:hAnsi="Arial" w:cs="Arial"/>
                <w:sz w:val="16"/>
                <w:szCs w:val="16"/>
              </w:rPr>
              <w:t>antracenediona</w:t>
            </w:r>
          </w:p>
        </w:tc>
        <w:tc>
          <w:tcPr>
            <w:tcW w:w="850" w:type="dxa"/>
          </w:tcPr>
          <w:p w:rsidR="00B50B0A" w:rsidRDefault="00B50B0A" w:rsidP="00C11C9E">
            <w:pPr>
              <w:jc w:val="both"/>
              <w:rPr>
                <w:rFonts w:ascii="Arial" w:hAnsi="Arial" w:cs="Arial"/>
                <w:sz w:val="16"/>
                <w:szCs w:val="16"/>
              </w:rPr>
            </w:pPr>
          </w:p>
          <w:p w:rsidR="004821D2" w:rsidRPr="00035BF7" w:rsidRDefault="004821D2" w:rsidP="00C11C9E">
            <w:pPr>
              <w:jc w:val="both"/>
              <w:rPr>
                <w:rFonts w:ascii="Arial" w:hAnsi="Arial" w:cs="Arial"/>
                <w:sz w:val="16"/>
                <w:szCs w:val="16"/>
              </w:rPr>
            </w:pPr>
            <w:r>
              <w:rPr>
                <w:rFonts w:ascii="Arial" w:hAnsi="Arial" w:cs="Arial"/>
                <w:sz w:val="16"/>
                <w:szCs w:val="16"/>
              </w:rPr>
              <w:t>IV</w:t>
            </w:r>
          </w:p>
        </w:tc>
        <w:tc>
          <w:tcPr>
            <w:tcW w:w="3402" w:type="dxa"/>
          </w:tcPr>
          <w:p w:rsidR="007A4A23" w:rsidRDefault="007A4A23" w:rsidP="00C11C9E">
            <w:pPr>
              <w:jc w:val="both"/>
              <w:rPr>
                <w:rFonts w:ascii="Arial" w:hAnsi="Arial" w:cs="Arial"/>
                <w:sz w:val="16"/>
                <w:szCs w:val="16"/>
              </w:rPr>
            </w:pPr>
          </w:p>
          <w:p w:rsidR="004821D2" w:rsidRDefault="004821D2" w:rsidP="00C11C9E">
            <w:pPr>
              <w:jc w:val="both"/>
              <w:rPr>
                <w:rFonts w:ascii="Arial" w:hAnsi="Arial" w:cs="Arial"/>
                <w:sz w:val="16"/>
                <w:szCs w:val="16"/>
              </w:rPr>
            </w:pPr>
            <w:r>
              <w:rPr>
                <w:rFonts w:ascii="Arial" w:hAnsi="Arial" w:cs="Arial"/>
                <w:sz w:val="16"/>
                <w:szCs w:val="16"/>
              </w:rPr>
              <w:t>Frecuentes: arritmias cardíacas, náuseas, vómito, aumento de los efectos secundarios de la radiación, ulceración local si se extravasa</w:t>
            </w:r>
            <w:r w:rsidR="00D138D7">
              <w:rPr>
                <w:rFonts w:ascii="Arial" w:hAnsi="Arial" w:cs="Arial"/>
                <w:sz w:val="16"/>
                <w:szCs w:val="16"/>
              </w:rPr>
              <w:t>, orina verde azulada, esclerótico azul, mielosupresión, inmunosupresión, alopecia.</w:t>
            </w:r>
          </w:p>
          <w:p w:rsidR="00D138D7" w:rsidRDefault="00D138D7" w:rsidP="00C11C9E">
            <w:pPr>
              <w:jc w:val="both"/>
              <w:rPr>
                <w:rFonts w:ascii="Arial" w:hAnsi="Arial" w:cs="Arial"/>
                <w:sz w:val="16"/>
                <w:szCs w:val="16"/>
              </w:rPr>
            </w:pPr>
            <w:r>
              <w:rPr>
                <w:rFonts w:ascii="Arial" w:hAnsi="Arial" w:cs="Arial"/>
                <w:sz w:val="16"/>
                <w:szCs w:val="16"/>
              </w:rPr>
              <w:t>Ocasionales: estomatitis, hepatotoxicidad, mucositis, miocardiopatía (dependiente de la dosis).</w:t>
            </w:r>
          </w:p>
          <w:p w:rsidR="00F8348E" w:rsidRPr="00035BF7" w:rsidRDefault="00F8348E" w:rsidP="00C11C9E">
            <w:pPr>
              <w:jc w:val="both"/>
              <w:rPr>
                <w:rFonts w:ascii="Arial" w:hAnsi="Arial" w:cs="Arial"/>
                <w:sz w:val="16"/>
                <w:szCs w:val="16"/>
              </w:rPr>
            </w:pPr>
          </w:p>
        </w:tc>
        <w:tc>
          <w:tcPr>
            <w:tcW w:w="2977" w:type="dxa"/>
          </w:tcPr>
          <w:p w:rsidR="007A4A23" w:rsidRDefault="007A4A23" w:rsidP="00C11C9E">
            <w:pPr>
              <w:jc w:val="both"/>
              <w:rPr>
                <w:rFonts w:ascii="Arial" w:hAnsi="Arial" w:cs="Arial"/>
                <w:sz w:val="16"/>
                <w:szCs w:val="16"/>
              </w:rPr>
            </w:pPr>
          </w:p>
          <w:p w:rsidR="00D138D7" w:rsidRDefault="00D138D7" w:rsidP="00C11C9E">
            <w:pPr>
              <w:jc w:val="both"/>
              <w:rPr>
                <w:rFonts w:ascii="Arial" w:hAnsi="Arial" w:cs="Arial"/>
                <w:sz w:val="16"/>
                <w:szCs w:val="16"/>
              </w:rPr>
            </w:pPr>
            <w:r>
              <w:rPr>
                <w:rFonts w:ascii="Arial" w:hAnsi="Arial" w:cs="Arial"/>
                <w:sz w:val="16"/>
                <w:szCs w:val="16"/>
              </w:rPr>
              <w:t>No se recomienda para pacientes que han recibido dosis completas de antraciclina.}</w:t>
            </w:r>
          </w:p>
          <w:p w:rsidR="00D138D7" w:rsidRDefault="00D138D7" w:rsidP="00C11C9E">
            <w:pPr>
              <w:jc w:val="both"/>
              <w:rPr>
                <w:rFonts w:ascii="Arial" w:hAnsi="Arial" w:cs="Arial"/>
                <w:sz w:val="16"/>
                <w:szCs w:val="16"/>
              </w:rPr>
            </w:pPr>
            <w:r>
              <w:rPr>
                <w:rFonts w:ascii="Arial" w:hAnsi="Arial" w:cs="Arial"/>
                <w:sz w:val="16"/>
                <w:szCs w:val="16"/>
              </w:rPr>
              <w:t>La orina puede ser de color verde azulada.</w:t>
            </w:r>
          </w:p>
          <w:p w:rsidR="00D138D7" w:rsidRPr="00035BF7" w:rsidRDefault="00D138D7" w:rsidP="00C11C9E">
            <w:pPr>
              <w:jc w:val="both"/>
              <w:rPr>
                <w:rFonts w:ascii="Arial" w:hAnsi="Arial" w:cs="Arial"/>
                <w:sz w:val="16"/>
                <w:szCs w:val="16"/>
              </w:rPr>
            </w:pPr>
          </w:p>
        </w:tc>
        <w:tc>
          <w:tcPr>
            <w:tcW w:w="3260" w:type="dxa"/>
          </w:tcPr>
          <w:p w:rsidR="007A4A23" w:rsidRDefault="007A4A23" w:rsidP="00C11C9E">
            <w:pPr>
              <w:jc w:val="both"/>
              <w:rPr>
                <w:rFonts w:ascii="Arial" w:hAnsi="Arial" w:cs="Arial"/>
                <w:sz w:val="16"/>
                <w:szCs w:val="16"/>
              </w:rPr>
            </w:pPr>
          </w:p>
          <w:p w:rsidR="00D138D7" w:rsidRDefault="00D138D7" w:rsidP="00C11C9E">
            <w:pPr>
              <w:jc w:val="both"/>
              <w:rPr>
                <w:rFonts w:ascii="Arial" w:hAnsi="Arial" w:cs="Arial"/>
                <w:sz w:val="16"/>
                <w:szCs w:val="16"/>
              </w:rPr>
            </w:pPr>
            <w:r>
              <w:rPr>
                <w:rFonts w:ascii="Arial" w:hAnsi="Arial" w:cs="Arial"/>
                <w:sz w:val="16"/>
                <w:szCs w:val="16"/>
              </w:rPr>
              <w:t>Vesicante: lesiones tisulares graves si ocurre extravasaciones.</w:t>
            </w:r>
          </w:p>
          <w:p w:rsidR="00D138D7" w:rsidRDefault="00D138D7" w:rsidP="00C11C9E">
            <w:pPr>
              <w:jc w:val="both"/>
              <w:rPr>
                <w:rFonts w:ascii="Arial" w:hAnsi="Arial" w:cs="Arial"/>
                <w:sz w:val="16"/>
                <w:szCs w:val="16"/>
              </w:rPr>
            </w:pPr>
            <w:r>
              <w:rPr>
                <w:rFonts w:ascii="Arial" w:hAnsi="Arial" w:cs="Arial"/>
                <w:sz w:val="16"/>
                <w:szCs w:val="16"/>
              </w:rPr>
              <w:t>Evitar extravasaciones.</w:t>
            </w:r>
          </w:p>
          <w:p w:rsidR="00D138D7" w:rsidRPr="00035BF7" w:rsidRDefault="00D138D7" w:rsidP="00C11C9E">
            <w:pPr>
              <w:jc w:val="both"/>
              <w:rPr>
                <w:rFonts w:ascii="Arial" w:hAnsi="Arial" w:cs="Arial"/>
                <w:sz w:val="16"/>
                <w:szCs w:val="16"/>
              </w:rPr>
            </w:pPr>
            <w:r>
              <w:rPr>
                <w:rFonts w:ascii="Arial" w:hAnsi="Arial" w:cs="Arial"/>
                <w:sz w:val="16"/>
                <w:szCs w:val="16"/>
              </w:rPr>
              <w:t>No administrar como infusión IV rápida.</w:t>
            </w:r>
          </w:p>
        </w:tc>
      </w:tr>
    </w:tbl>
    <w:p w:rsidR="0045504C" w:rsidRDefault="0045504C" w:rsidP="0045504C">
      <w:pPr>
        <w:jc w:val="both"/>
        <w:rPr>
          <w:rFonts w:ascii="Arial" w:hAnsi="Arial" w:cs="Arial"/>
          <w:sz w:val="24"/>
          <w:szCs w:val="24"/>
        </w:rPr>
      </w:pPr>
    </w:p>
    <w:p w:rsidR="007A4A23" w:rsidRDefault="007A4A23" w:rsidP="0045504C">
      <w:pPr>
        <w:jc w:val="both"/>
        <w:rPr>
          <w:rFonts w:ascii="Arial" w:hAnsi="Arial" w:cs="Arial"/>
          <w:sz w:val="24"/>
          <w:szCs w:val="24"/>
        </w:rPr>
      </w:pPr>
    </w:p>
    <w:p w:rsidR="00D138D7" w:rsidRPr="00EE32DA" w:rsidRDefault="00D138D7" w:rsidP="00D138D7">
      <w:pPr>
        <w:jc w:val="both"/>
        <w:rPr>
          <w:rFonts w:ascii="Arial" w:hAnsi="Arial" w:cs="Arial"/>
          <w:sz w:val="24"/>
          <w:szCs w:val="24"/>
        </w:rPr>
      </w:pPr>
      <w:r w:rsidRPr="00EE32DA">
        <w:rPr>
          <w:rFonts w:ascii="Arial" w:hAnsi="Arial" w:cs="Arial"/>
          <w:sz w:val="24"/>
          <w:szCs w:val="24"/>
        </w:rPr>
        <w:t>Tabla 1 Agentes quimioterapéuticos</w:t>
      </w:r>
    </w:p>
    <w:tbl>
      <w:tblPr>
        <w:tblStyle w:val="Tablaconcuadrcula"/>
        <w:tblW w:w="0" w:type="auto"/>
        <w:tblLayout w:type="fixed"/>
        <w:tblLook w:val="04A0" w:firstRow="1" w:lastRow="0" w:firstColumn="1" w:lastColumn="0" w:noHBand="0" w:noVBand="1"/>
      </w:tblPr>
      <w:tblGrid>
        <w:gridCol w:w="1242"/>
        <w:gridCol w:w="1418"/>
        <w:gridCol w:w="850"/>
        <w:gridCol w:w="2694"/>
        <w:gridCol w:w="2268"/>
        <w:gridCol w:w="4677"/>
      </w:tblGrid>
      <w:tr w:rsidR="00B86E28" w:rsidTr="000D3439">
        <w:tc>
          <w:tcPr>
            <w:tcW w:w="1242" w:type="dxa"/>
          </w:tcPr>
          <w:p w:rsidR="00B86E28" w:rsidRPr="0028732A" w:rsidRDefault="00B86E28" w:rsidP="00864D49">
            <w:pPr>
              <w:jc w:val="both"/>
              <w:rPr>
                <w:rFonts w:ascii="Arial" w:hAnsi="Arial" w:cs="Arial"/>
                <w:sz w:val="20"/>
                <w:szCs w:val="20"/>
              </w:rPr>
            </w:pPr>
            <w:r w:rsidRPr="0028732A">
              <w:rPr>
                <w:rFonts w:ascii="Arial" w:hAnsi="Arial" w:cs="Arial"/>
                <w:sz w:val="20"/>
                <w:szCs w:val="20"/>
              </w:rPr>
              <w:t>fármaco</w:t>
            </w:r>
          </w:p>
        </w:tc>
        <w:tc>
          <w:tcPr>
            <w:tcW w:w="1418" w:type="dxa"/>
          </w:tcPr>
          <w:p w:rsidR="00B86E28" w:rsidRPr="0028732A" w:rsidRDefault="00B86E28" w:rsidP="00864D49">
            <w:pPr>
              <w:jc w:val="both"/>
              <w:rPr>
                <w:rFonts w:ascii="Arial" w:hAnsi="Arial" w:cs="Arial"/>
                <w:sz w:val="20"/>
                <w:szCs w:val="20"/>
              </w:rPr>
            </w:pPr>
            <w:r w:rsidRPr="0028732A">
              <w:rPr>
                <w:rFonts w:ascii="Arial" w:hAnsi="Arial" w:cs="Arial"/>
                <w:sz w:val="20"/>
                <w:szCs w:val="20"/>
              </w:rPr>
              <w:t xml:space="preserve">Clasificación </w:t>
            </w:r>
          </w:p>
        </w:tc>
        <w:tc>
          <w:tcPr>
            <w:tcW w:w="850" w:type="dxa"/>
          </w:tcPr>
          <w:p w:rsidR="00B86E28" w:rsidRPr="0028732A" w:rsidRDefault="00B86E28" w:rsidP="00864D49">
            <w:pPr>
              <w:jc w:val="both"/>
              <w:rPr>
                <w:rFonts w:ascii="Arial" w:hAnsi="Arial" w:cs="Arial"/>
                <w:sz w:val="20"/>
                <w:szCs w:val="20"/>
              </w:rPr>
            </w:pPr>
            <w:r w:rsidRPr="0028732A">
              <w:rPr>
                <w:rFonts w:ascii="Arial" w:hAnsi="Arial" w:cs="Arial"/>
                <w:sz w:val="20"/>
                <w:szCs w:val="20"/>
              </w:rPr>
              <w:t xml:space="preserve">Vía de </w:t>
            </w:r>
            <w:r>
              <w:rPr>
                <w:rFonts w:ascii="Arial" w:hAnsi="Arial" w:cs="Arial"/>
                <w:sz w:val="20"/>
                <w:szCs w:val="20"/>
              </w:rPr>
              <w:t>adm.</w:t>
            </w:r>
            <w:r w:rsidRPr="0028732A">
              <w:rPr>
                <w:rFonts w:ascii="Arial" w:hAnsi="Arial" w:cs="Arial"/>
                <w:sz w:val="20"/>
                <w:szCs w:val="20"/>
              </w:rPr>
              <w:t xml:space="preserve"> </w:t>
            </w:r>
          </w:p>
        </w:tc>
        <w:tc>
          <w:tcPr>
            <w:tcW w:w="2694" w:type="dxa"/>
          </w:tcPr>
          <w:p w:rsidR="00B86E28" w:rsidRPr="0028732A" w:rsidRDefault="00B86E28" w:rsidP="00864D49">
            <w:pPr>
              <w:jc w:val="both"/>
              <w:rPr>
                <w:rFonts w:ascii="Arial" w:hAnsi="Arial" w:cs="Arial"/>
                <w:sz w:val="20"/>
                <w:szCs w:val="20"/>
              </w:rPr>
            </w:pPr>
            <w:r w:rsidRPr="0028732A">
              <w:rPr>
                <w:rFonts w:ascii="Arial" w:hAnsi="Arial" w:cs="Arial"/>
                <w:sz w:val="20"/>
                <w:szCs w:val="20"/>
              </w:rPr>
              <w:t>Efectos secundarios</w:t>
            </w:r>
          </w:p>
        </w:tc>
        <w:tc>
          <w:tcPr>
            <w:tcW w:w="2268" w:type="dxa"/>
          </w:tcPr>
          <w:p w:rsidR="00B86E28" w:rsidRPr="0028732A" w:rsidRDefault="00B86E28" w:rsidP="00864D49">
            <w:pPr>
              <w:jc w:val="both"/>
              <w:rPr>
                <w:rFonts w:ascii="Arial" w:hAnsi="Arial" w:cs="Arial"/>
                <w:sz w:val="20"/>
                <w:szCs w:val="20"/>
              </w:rPr>
            </w:pPr>
            <w:r w:rsidRPr="0028732A">
              <w:rPr>
                <w:rFonts w:ascii="Arial" w:hAnsi="Arial" w:cs="Arial"/>
                <w:sz w:val="20"/>
                <w:szCs w:val="20"/>
              </w:rPr>
              <w:t>Consideraciones especiales</w:t>
            </w:r>
          </w:p>
        </w:tc>
        <w:tc>
          <w:tcPr>
            <w:tcW w:w="4677" w:type="dxa"/>
          </w:tcPr>
          <w:p w:rsidR="00B86E28" w:rsidRPr="0028732A" w:rsidRDefault="00B86E28" w:rsidP="00864D49">
            <w:pPr>
              <w:jc w:val="both"/>
              <w:rPr>
                <w:rFonts w:ascii="Arial" w:hAnsi="Arial" w:cs="Arial"/>
                <w:sz w:val="20"/>
                <w:szCs w:val="20"/>
              </w:rPr>
            </w:pPr>
            <w:r w:rsidRPr="0028732A">
              <w:rPr>
                <w:rFonts w:ascii="Arial" w:hAnsi="Arial" w:cs="Arial"/>
                <w:sz w:val="20"/>
                <w:szCs w:val="20"/>
              </w:rPr>
              <w:t>Acciones de enfermería</w:t>
            </w:r>
          </w:p>
        </w:tc>
      </w:tr>
      <w:tr w:rsidR="00B86E28" w:rsidTr="000D3439">
        <w:tc>
          <w:tcPr>
            <w:tcW w:w="1242" w:type="dxa"/>
          </w:tcPr>
          <w:p w:rsidR="00B86E28" w:rsidRDefault="00B86E28" w:rsidP="00864D49">
            <w:pPr>
              <w:jc w:val="both"/>
              <w:rPr>
                <w:rFonts w:ascii="Arial" w:hAnsi="Arial" w:cs="Arial"/>
                <w:sz w:val="16"/>
                <w:szCs w:val="16"/>
              </w:rPr>
            </w:pPr>
          </w:p>
          <w:p w:rsidR="00D138D7" w:rsidRPr="00035BF7" w:rsidRDefault="00D138D7" w:rsidP="00864D49">
            <w:pPr>
              <w:jc w:val="both"/>
              <w:rPr>
                <w:rFonts w:ascii="Arial" w:hAnsi="Arial" w:cs="Arial"/>
                <w:sz w:val="16"/>
                <w:szCs w:val="16"/>
              </w:rPr>
            </w:pPr>
            <w:r>
              <w:rPr>
                <w:rFonts w:ascii="Arial" w:hAnsi="Arial" w:cs="Arial"/>
                <w:sz w:val="16"/>
                <w:szCs w:val="16"/>
              </w:rPr>
              <w:t>Nelarabina (arranon)</w:t>
            </w:r>
          </w:p>
        </w:tc>
        <w:tc>
          <w:tcPr>
            <w:tcW w:w="1418" w:type="dxa"/>
          </w:tcPr>
          <w:p w:rsidR="00B86E28" w:rsidRDefault="00B86E28" w:rsidP="00864D49">
            <w:pPr>
              <w:jc w:val="both"/>
              <w:rPr>
                <w:rFonts w:ascii="Arial" w:hAnsi="Arial" w:cs="Arial"/>
                <w:sz w:val="16"/>
                <w:szCs w:val="16"/>
              </w:rPr>
            </w:pPr>
          </w:p>
          <w:p w:rsidR="00D138D7" w:rsidRPr="00035BF7" w:rsidRDefault="00D138D7" w:rsidP="00864D49">
            <w:pPr>
              <w:jc w:val="both"/>
              <w:rPr>
                <w:rFonts w:ascii="Arial" w:hAnsi="Arial" w:cs="Arial"/>
                <w:sz w:val="16"/>
                <w:szCs w:val="16"/>
              </w:rPr>
            </w:pPr>
            <w:r>
              <w:rPr>
                <w:rFonts w:ascii="Arial" w:hAnsi="Arial" w:cs="Arial"/>
                <w:sz w:val="16"/>
                <w:szCs w:val="16"/>
              </w:rPr>
              <w:t>Antimetabolito</w:t>
            </w:r>
          </w:p>
        </w:tc>
        <w:tc>
          <w:tcPr>
            <w:tcW w:w="850" w:type="dxa"/>
          </w:tcPr>
          <w:p w:rsidR="00B86E28" w:rsidRDefault="00B86E28" w:rsidP="00864D49">
            <w:pPr>
              <w:jc w:val="both"/>
              <w:rPr>
                <w:rFonts w:ascii="Arial" w:hAnsi="Arial" w:cs="Arial"/>
                <w:sz w:val="16"/>
                <w:szCs w:val="16"/>
              </w:rPr>
            </w:pPr>
          </w:p>
          <w:p w:rsidR="00D138D7" w:rsidRPr="00035BF7" w:rsidRDefault="00D138D7" w:rsidP="00864D49">
            <w:pPr>
              <w:jc w:val="both"/>
              <w:rPr>
                <w:rFonts w:ascii="Arial" w:hAnsi="Arial" w:cs="Arial"/>
                <w:sz w:val="16"/>
                <w:szCs w:val="16"/>
              </w:rPr>
            </w:pPr>
            <w:r>
              <w:rPr>
                <w:rFonts w:ascii="Arial" w:hAnsi="Arial" w:cs="Arial"/>
                <w:sz w:val="16"/>
                <w:szCs w:val="16"/>
              </w:rPr>
              <w:t>IV</w:t>
            </w:r>
          </w:p>
        </w:tc>
        <w:tc>
          <w:tcPr>
            <w:tcW w:w="2694" w:type="dxa"/>
          </w:tcPr>
          <w:p w:rsidR="00B86E28" w:rsidRDefault="00B86E28" w:rsidP="00864D49">
            <w:pPr>
              <w:jc w:val="both"/>
              <w:rPr>
                <w:rFonts w:ascii="Arial" w:hAnsi="Arial" w:cs="Arial"/>
                <w:sz w:val="16"/>
                <w:szCs w:val="16"/>
              </w:rPr>
            </w:pPr>
          </w:p>
          <w:p w:rsidR="00B86E28" w:rsidRDefault="007F65BA" w:rsidP="00864D49">
            <w:pPr>
              <w:jc w:val="both"/>
              <w:rPr>
                <w:rFonts w:ascii="Arial" w:hAnsi="Arial" w:cs="Arial"/>
                <w:sz w:val="16"/>
                <w:szCs w:val="16"/>
              </w:rPr>
            </w:pPr>
            <w:r>
              <w:rPr>
                <w:rFonts w:ascii="Arial" w:hAnsi="Arial" w:cs="Arial"/>
                <w:sz w:val="16"/>
                <w:szCs w:val="16"/>
              </w:rPr>
              <w:t>Frecuentes: edema, fatiga, fiebre, somnolencia, mareos, dolor de cabeza, dolor, convulsiones</w:t>
            </w:r>
            <w:r w:rsidR="00864D49">
              <w:rPr>
                <w:rFonts w:ascii="Arial" w:hAnsi="Arial" w:cs="Arial"/>
                <w:sz w:val="16"/>
                <w:szCs w:val="16"/>
              </w:rPr>
              <w:t>, como, cambios en el estado mental, vómitos, disnea, diarrea, estreñimiento, náuseas, tos, mielosupresión, toxicidad hepática, tos, disnea, neuropatía periférica, debilidad.</w:t>
            </w:r>
          </w:p>
          <w:p w:rsidR="00FB0326" w:rsidRDefault="00FB0326" w:rsidP="00864D49">
            <w:pPr>
              <w:jc w:val="both"/>
              <w:rPr>
                <w:rFonts w:ascii="Arial" w:hAnsi="Arial" w:cs="Arial"/>
                <w:sz w:val="16"/>
                <w:szCs w:val="16"/>
              </w:rPr>
            </w:pPr>
            <w:r>
              <w:rPr>
                <w:rFonts w:ascii="Arial" w:hAnsi="Arial" w:cs="Arial"/>
                <w:sz w:val="16"/>
                <w:szCs w:val="16"/>
              </w:rPr>
              <w:t>Ocasionales:</w:t>
            </w:r>
            <w:r w:rsidR="00C30E0B">
              <w:rPr>
                <w:rFonts w:ascii="Arial" w:hAnsi="Arial" w:cs="Arial"/>
                <w:sz w:val="16"/>
                <w:szCs w:val="16"/>
              </w:rPr>
              <w:t xml:space="preserve"> hipotensión, dolor de pecho, hipocalcemia, hipo/hiperglucemia, hipomagnesemia, alteración del gusto, visión borrosa, creatinina aumentada, derrame pleural, convulsiones.</w:t>
            </w:r>
          </w:p>
          <w:p w:rsidR="00B86E28" w:rsidRPr="00035BF7" w:rsidRDefault="00B86E28" w:rsidP="00864D49">
            <w:pPr>
              <w:jc w:val="both"/>
              <w:rPr>
                <w:rFonts w:ascii="Arial" w:hAnsi="Arial" w:cs="Arial"/>
                <w:sz w:val="16"/>
                <w:szCs w:val="16"/>
              </w:rPr>
            </w:pPr>
          </w:p>
        </w:tc>
        <w:tc>
          <w:tcPr>
            <w:tcW w:w="2268" w:type="dxa"/>
          </w:tcPr>
          <w:p w:rsidR="00B86E28" w:rsidRDefault="00B86E28" w:rsidP="00864D49">
            <w:pPr>
              <w:jc w:val="both"/>
              <w:rPr>
                <w:rFonts w:ascii="Arial" w:hAnsi="Arial" w:cs="Arial"/>
                <w:sz w:val="16"/>
                <w:szCs w:val="16"/>
              </w:rPr>
            </w:pPr>
          </w:p>
          <w:p w:rsidR="00864D49" w:rsidRPr="00035BF7" w:rsidRDefault="00864D49" w:rsidP="00864D49">
            <w:pPr>
              <w:jc w:val="both"/>
              <w:rPr>
                <w:rFonts w:ascii="Arial" w:hAnsi="Arial" w:cs="Arial"/>
                <w:sz w:val="16"/>
                <w:szCs w:val="16"/>
              </w:rPr>
            </w:pPr>
            <w:r>
              <w:rPr>
                <w:rFonts w:ascii="Arial" w:hAnsi="Arial" w:cs="Arial"/>
                <w:sz w:val="16"/>
                <w:szCs w:val="16"/>
              </w:rPr>
              <w:t>Se recomienda hidratación IV adecuada para prevenir el síndrome de lisis tumoral agudo (ATLS, por sus siglas en ingles).</w:t>
            </w:r>
          </w:p>
        </w:tc>
        <w:tc>
          <w:tcPr>
            <w:tcW w:w="4677" w:type="dxa"/>
          </w:tcPr>
          <w:p w:rsidR="00B86E28" w:rsidRDefault="00B86E28" w:rsidP="00864D49">
            <w:pPr>
              <w:jc w:val="both"/>
              <w:rPr>
                <w:rFonts w:ascii="Arial" w:hAnsi="Arial" w:cs="Arial"/>
                <w:sz w:val="16"/>
                <w:szCs w:val="16"/>
              </w:rPr>
            </w:pPr>
          </w:p>
          <w:p w:rsidR="00864D49" w:rsidRPr="00035BF7" w:rsidRDefault="00864D49" w:rsidP="00864D49">
            <w:pPr>
              <w:jc w:val="both"/>
              <w:rPr>
                <w:rFonts w:ascii="Arial" w:hAnsi="Arial" w:cs="Arial"/>
                <w:sz w:val="16"/>
                <w:szCs w:val="16"/>
              </w:rPr>
            </w:pPr>
            <w:r>
              <w:rPr>
                <w:rFonts w:ascii="Arial" w:hAnsi="Arial" w:cs="Arial"/>
                <w:sz w:val="16"/>
                <w:szCs w:val="16"/>
              </w:rPr>
              <w:t xml:space="preserve">Monitorear para detectar toxicidad neurológica, síndrome de lisis </w:t>
            </w:r>
            <w:r w:rsidR="000D3439">
              <w:rPr>
                <w:rFonts w:ascii="Arial" w:hAnsi="Arial" w:cs="Arial"/>
                <w:sz w:val="16"/>
                <w:szCs w:val="16"/>
              </w:rPr>
              <w:t>tumoral</w:t>
            </w:r>
            <w:r>
              <w:rPr>
                <w:rFonts w:ascii="Arial" w:hAnsi="Arial" w:cs="Arial"/>
                <w:sz w:val="16"/>
                <w:szCs w:val="16"/>
              </w:rPr>
              <w:t xml:space="preserve"> agudo.</w:t>
            </w:r>
          </w:p>
        </w:tc>
      </w:tr>
      <w:tr w:rsidR="00B86E28" w:rsidTr="000D3439">
        <w:tc>
          <w:tcPr>
            <w:tcW w:w="1242" w:type="dxa"/>
          </w:tcPr>
          <w:p w:rsidR="00B86E28" w:rsidRDefault="00B86E28" w:rsidP="00864D49">
            <w:pPr>
              <w:jc w:val="both"/>
              <w:rPr>
                <w:rFonts w:ascii="Arial" w:hAnsi="Arial" w:cs="Arial"/>
                <w:sz w:val="16"/>
                <w:szCs w:val="16"/>
              </w:rPr>
            </w:pPr>
          </w:p>
          <w:p w:rsidR="00C30E0B" w:rsidRPr="00035BF7" w:rsidRDefault="00C30E0B" w:rsidP="00864D49">
            <w:pPr>
              <w:jc w:val="both"/>
              <w:rPr>
                <w:rFonts w:ascii="Arial" w:hAnsi="Arial" w:cs="Arial"/>
                <w:sz w:val="16"/>
                <w:szCs w:val="16"/>
              </w:rPr>
            </w:pPr>
            <w:r>
              <w:rPr>
                <w:rFonts w:ascii="Arial" w:hAnsi="Arial" w:cs="Arial"/>
                <w:sz w:val="16"/>
                <w:szCs w:val="16"/>
              </w:rPr>
              <w:t>Oxaliplatino (Eloxatin)</w:t>
            </w:r>
          </w:p>
        </w:tc>
        <w:tc>
          <w:tcPr>
            <w:tcW w:w="1418" w:type="dxa"/>
          </w:tcPr>
          <w:p w:rsidR="00B86E28" w:rsidRDefault="00B86E28" w:rsidP="00864D49">
            <w:pPr>
              <w:jc w:val="both"/>
              <w:rPr>
                <w:rFonts w:ascii="Arial" w:hAnsi="Arial" w:cs="Arial"/>
                <w:sz w:val="16"/>
                <w:szCs w:val="16"/>
              </w:rPr>
            </w:pPr>
          </w:p>
          <w:p w:rsidR="00C30E0B" w:rsidRPr="00035BF7" w:rsidRDefault="00C30E0B" w:rsidP="00864D49">
            <w:pPr>
              <w:jc w:val="both"/>
              <w:rPr>
                <w:rFonts w:ascii="Arial" w:hAnsi="Arial" w:cs="Arial"/>
                <w:sz w:val="16"/>
                <w:szCs w:val="16"/>
              </w:rPr>
            </w:pPr>
            <w:r>
              <w:rPr>
                <w:rFonts w:ascii="Arial" w:hAnsi="Arial" w:cs="Arial"/>
                <w:sz w:val="16"/>
                <w:szCs w:val="16"/>
              </w:rPr>
              <w:t>Agente alcalinizante</w:t>
            </w:r>
          </w:p>
        </w:tc>
        <w:tc>
          <w:tcPr>
            <w:tcW w:w="850" w:type="dxa"/>
          </w:tcPr>
          <w:p w:rsidR="00B86E28" w:rsidRDefault="00B86E28" w:rsidP="00864D49">
            <w:pPr>
              <w:jc w:val="both"/>
              <w:rPr>
                <w:rFonts w:ascii="Arial" w:hAnsi="Arial" w:cs="Arial"/>
                <w:sz w:val="16"/>
                <w:szCs w:val="16"/>
              </w:rPr>
            </w:pPr>
          </w:p>
          <w:p w:rsidR="00C30E0B" w:rsidRPr="00035BF7" w:rsidRDefault="00C30E0B" w:rsidP="00864D49">
            <w:pPr>
              <w:jc w:val="both"/>
              <w:rPr>
                <w:rFonts w:ascii="Arial" w:hAnsi="Arial" w:cs="Arial"/>
                <w:sz w:val="16"/>
                <w:szCs w:val="16"/>
              </w:rPr>
            </w:pPr>
            <w:r>
              <w:rPr>
                <w:rFonts w:ascii="Arial" w:hAnsi="Arial" w:cs="Arial"/>
                <w:sz w:val="16"/>
                <w:szCs w:val="16"/>
              </w:rPr>
              <w:t>IV</w:t>
            </w:r>
          </w:p>
        </w:tc>
        <w:tc>
          <w:tcPr>
            <w:tcW w:w="2694" w:type="dxa"/>
          </w:tcPr>
          <w:p w:rsidR="00B86E28" w:rsidRDefault="00B86E28" w:rsidP="00864D49">
            <w:pPr>
              <w:jc w:val="both"/>
              <w:rPr>
                <w:rFonts w:ascii="Arial" w:hAnsi="Arial" w:cs="Arial"/>
                <w:sz w:val="16"/>
                <w:szCs w:val="16"/>
              </w:rPr>
            </w:pPr>
          </w:p>
          <w:p w:rsidR="00C30E0B" w:rsidRDefault="00C30E0B" w:rsidP="00864D49">
            <w:pPr>
              <w:jc w:val="both"/>
              <w:rPr>
                <w:rFonts w:ascii="Arial" w:hAnsi="Arial" w:cs="Arial"/>
                <w:sz w:val="16"/>
                <w:szCs w:val="16"/>
              </w:rPr>
            </w:pPr>
            <w:r>
              <w:rPr>
                <w:rFonts w:ascii="Arial" w:hAnsi="Arial" w:cs="Arial"/>
                <w:sz w:val="16"/>
                <w:szCs w:val="16"/>
              </w:rPr>
              <w:t xml:space="preserve">Frecuentes: fatiga, fiebre, dolor, dolor de cabeza, insomnio, náuseas, vómito, diarrea, estreñimiento, </w:t>
            </w:r>
            <w:r w:rsidR="000D3439">
              <w:rPr>
                <w:rFonts w:ascii="Arial" w:hAnsi="Arial" w:cs="Arial"/>
                <w:sz w:val="16"/>
                <w:szCs w:val="16"/>
              </w:rPr>
              <w:t>mielosupresión</w:t>
            </w:r>
            <w:r>
              <w:rPr>
                <w:rFonts w:ascii="Arial" w:hAnsi="Arial" w:cs="Arial"/>
                <w:sz w:val="16"/>
                <w:szCs w:val="16"/>
              </w:rPr>
              <w:t xml:space="preserve">, </w:t>
            </w:r>
            <w:r w:rsidR="000D3439">
              <w:rPr>
                <w:rFonts w:ascii="Arial" w:hAnsi="Arial" w:cs="Arial"/>
                <w:sz w:val="16"/>
                <w:szCs w:val="16"/>
              </w:rPr>
              <w:t>toxicidad</w:t>
            </w:r>
            <w:r>
              <w:rPr>
                <w:rFonts w:ascii="Arial" w:hAnsi="Arial" w:cs="Arial"/>
                <w:sz w:val="16"/>
                <w:szCs w:val="16"/>
              </w:rPr>
              <w:t xml:space="preserve"> hepática, tos disnea, neuropatía periférica, dolor de </w:t>
            </w:r>
            <w:r w:rsidR="000D3439">
              <w:rPr>
                <w:rFonts w:ascii="Arial" w:hAnsi="Arial" w:cs="Arial"/>
                <w:sz w:val="16"/>
                <w:szCs w:val="16"/>
              </w:rPr>
              <w:t>espalda</w:t>
            </w:r>
            <w:r>
              <w:rPr>
                <w:rFonts w:ascii="Arial" w:hAnsi="Arial" w:cs="Arial"/>
                <w:sz w:val="16"/>
                <w:szCs w:val="16"/>
              </w:rPr>
              <w:t xml:space="preserve">, dificultad para tragar, parestesias, </w:t>
            </w:r>
            <w:r w:rsidR="000D3439">
              <w:rPr>
                <w:rFonts w:ascii="Arial" w:hAnsi="Arial" w:cs="Arial"/>
                <w:sz w:val="16"/>
                <w:szCs w:val="16"/>
              </w:rPr>
              <w:t>reacción de hipersensibilidad.</w:t>
            </w:r>
          </w:p>
          <w:p w:rsidR="000D3439" w:rsidRPr="00035BF7" w:rsidRDefault="000D3439" w:rsidP="00864D49">
            <w:pPr>
              <w:jc w:val="both"/>
              <w:rPr>
                <w:rFonts w:ascii="Arial" w:hAnsi="Arial" w:cs="Arial"/>
                <w:sz w:val="16"/>
                <w:szCs w:val="16"/>
              </w:rPr>
            </w:pPr>
            <w:r>
              <w:rPr>
                <w:rFonts w:ascii="Arial" w:hAnsi="Arial" w:cs="Arial"/>
                <w:sz w:val="16"/>
                <w:szCs w:val="16"/>
              </w:rPr>
              <w:t>Ocasionales: mareos, hematuria, edema periférico, creatinina elevada, hipocalcemia, artralgias, dolor de pecho.</w:t>
            </w:r>
          </w:p>
        </w:tc>
        <w:tc>
          <w:tcPr>
            <w:tcW w:w="2268" w:type="dxa"/>
          </w:tcPr>
          <w:p w:rsidR="00B86E28" w:rsidRDefault="00B86E28" w:rsidP="00864D49">
            <w:pPr>
              <w:jc w:val="both"/>
              <w:rPr>
                <w:rFonts w:ascii="Arial" w:hAnsi="Arial" w:cs="Arial"/>
                <w:sz w:val="16"/>
                <w:szCs w:val="16"/>
              </w:rPr>
            </w:pPr>
          </w:p>
          <w:p w:rsidR="000D3439" w:rsidRDefault="000D3439" w:rsidP="00864D49">
            <w:pPr>
              <w:jc w:val="both"/>
              <w:rPr>
                <w:rFonts w:ascii="Arial" w:hAnsi="Arial" w:cs="Arial"/>
                <w:sz w:val="16"/>
                <w:szCs w:val="16"/>
              </w:rPr>
            </w:pPr>
            <w:r>
              <w:rPr>
                <w:rFonts w:ascii="Arial" w:hAnsi="Arial" w:cs="Arial"/>
                <w:sz w:val="16"/>
                <w:szCs w:val="16"/>
              </w:rPr>
              <w:t>Purgar la línea IV con dextrosa antes y después.</w:t>
            </w:r>
          </w:p>
          <w:p w:rsidR="000D3439" w:rsidRPr="00035BF7" w:rsidRDefault="000D3439" w:rsidP="00864D49">
            <w:pPr>
              <w:jc w:val="both"/>
              <w:rPr>
                <w:rFonts w:ascii="Arial" w:hAnsi="Arial" w:cs="Arial"/>
                <w:sz w:val="16"/>
                <w:szCs w:val="16"/>
              </w:rPr>
            </w:pPr>
            <w:r>
              <w:rPr>
                <w:rFonts w:ascii="Arial" w:hAnsi="Arial" w:cs="Arial"/>
                <w:sz w:val="16"/>
                <w:szCs w:val="16"/>
              </w:rPr>
              <w:t>No mezclar con soluciones de cloruro de sodio.</w:t>
            </w:r>
          </w:p>
        </w:tc>
        <w:tc>
          <w:tcPr>
            <w:tcW w:w="4677" w:type="dxa"/>
          </w:tcPr>
          <w:p w:rsidR="00B86E28" w:rsidRDefault="00B86E28" w:rsidP="00864D49">
            <w:pPr>
              <w:jc w:val="both"/>
              <w:rPr>
                <w:rFonts w:ascii="Arial" w:hAnsi="Arial" w:cs="Arial"/>
                <w:sz w:val="16"/>
                <w:szCs w:val="16"/>
              </w:rPr>
            </w:pPr>
          </w:p>
          <w:p w:rsidR="000D3439" w:rsidRDefault="000D3439" w:rsidP="00864D49">
            <w:pPr>
              <w:jc w:val="both"/>
              <w:rPr>
                <w:rFonts w:ascii="Arial" w:hAnsi="Arial" w:cs="Arial"/>
                <w:sz w:val="16"/>
                <w:szCs w:val="16"/>
              </w:rPr>
            </w:pPr>
            <w:r>
              <w:rPr>
                <w:rFonts w:ascii="Arial" w:hAnsi="Arial" w:cs="Arial"/>
                <w:sz w:val="16"/>
                <w:szCs w:val="16"/>
              </w:rPr>
              <w:t>Monitorear para detectar hipersensibilidad, reacciones anafilácticas u efectos respiratorios.</w:t>
            </w:r>
          </w:p>
          <w:p w:rsidR="000D3439" w:rsidRDefault="000D3439" w:rsidP="00864D49">
            <w:pPr>
              <w:jc w:val="both"/>
              <w:rPr>
                <w:rFonts w:ascii="Arial" w:hAnsi="Arial" w:cs="Arial"/>
                <w:sz w:val="16"/>
                <w:szCs w:val="16"/>
              </w:rPr>
            </w:pPr>
            <w:r>
              <w:rPr>
                <w:rFonts w:ascii="Arial" w:hAnsi="Arial" w:cs="Arial"/>
                <w:sz w:val="16"/>
                <w:szCs w:val="16"/>
              </w:rPr>
              <w:t>Reducir la velocidad de la infusión puede reducir las reacciones agudas.</w:t>
            </w:r>
          </w:p>
          <w:p w:rsidR="000D3439" w:rsidRPr="00035BF7" w:rsidRDefault="000D3439" w:rsidP="00864D49">
            <w:pPr>
              <w:jc w:val="both"/>
              <w:rPr>
                <w:rFonts w:ascii="Arial" w:hAnsi="Arial" w:cs="Arial"/>
                <w:sz w:val="16"/>
                <w:szCs w:val="16"/>
              </w:rPr>
            </w:pPr>
            <w:r>
              <w:rPr>
                <w:rFonts w:ascii="Arial" w:hAnsi="Arial" w:cs="Arial"/>
                <w:sz w:val="16"/>
                <w:szCs w:val="16"/>
              </w:rPr>
              <w:t>Evitar bebidas y alimentos fríos durante la administración.</w:t>
            </w:r>
          </w:p>
        </w:tc>
      </w:tr>
    </w:tbl>
    <w:p w:rsidR="00B86E28" w:rsidRDefault="00B86E28" w:rsidP="00B86E28">
      <w:pPr>
        <w:jc w:val="both"/>
        <w:rPr>
          <w:rFonts w:ascii="Arial" w:hAnsi="Arial" w:cs="Arial"/>
          <w:sz w:val="24"/>
          <w:szCs w:val="24"/>
        </w:rPr>
      </w:pPr>
    </w:p>
    <w:p w:rsidR="000D3439" w:rsidRDefault="000D3439" w:rsidP="00B86E28">
      <w:pPr>
        <w:jc w:val="both"/>
        <w:rPr>
          <w:rFonts w:ascii="Arial" w:hAnsi="Arial" w:cs="Arial"/>
          <w:sz w:val="24"/>
          <w:szCs w:val="24"/>
        </w:rPr>
      </w:pPr>
    </w:p>
    <w:p w:rsidR="000D3439" w:rsidRDefault="000D3439" w:rsidP="00B86E28">
      <w:pPr>
        <w:jc w:val="both"/>
        <w:rPr>
          <w:rFonts w:ascii="Arial" w:hAnsi="Arial" w:cs="Arial"/>
          <w:sz w:val="24"/>
          <w:szCs w:val="24"/>
        </w:rPr>
      </w:pPr>
    </w:p>
    <w:p w:rsidR="00D138D7" w:rsidRPr="00EE32DA" w:rsidRDefault="00D138D7" w:rsidP="00D138D7">
      <w:pPr>
        <w:jc w:val="both"/>
        <w:rPr>
          <w:rFonts w:ascii="Arial" w:hAnsi="Arial" w:cs="Arial"/>
          <w:sz w:val="24"/>
          <w:szCs w:val="24"/>
        </w:rPr>
      </w:pPr>
      <w:r w:rsidRPr="00EE32DA">
        <w:rPr>
          <w:rFonts w:ascii="Arial" w:hAnsi="Arial" w:cs="Arial"/>
          <w:sz w:val="24"/>
          <w:szCs w:val="24"/>
        </w:rPr>
        <w:lastRenderedPageBreak/>
        <w:t>Tabla 1 Agentes quimioterapéuticos</w:t>
      </w:r>
    </w:p>
    <w:p w:rsidR="00D138D7" w:rsidRDefault="00D138D7" w:rsidP="00B86E28">
      <w:pPr>
        <w:jc w:val="both"/>
        <w:rPr>
          <w:rFonts w:ascii="Arial" w:hAnsi="Arial" w:cs="Arial"/>
          <w:sz w:val="24"/>
          <w:szCs w:val="24"/>
        </w:rPr>
      </w:pPr>
    </w:p>
    <w:p w:rsidR="00B86E28" w:rsidRDefault="00B86E28" w:rsidP="00B86E28">
      <w:pPr>
        <w:jc w:val="both"/>
        <w:rPr>
          <w:rFonts w:ascii="Arial" w:hAnsi="Arial" w:cs="Arial"/>
          <w:sz w:val="24"/>
          <w:szCs w:val="24"/>
        </w:rPr>
      </w:pPr>
    </w:p>
    <w:tbl>
      <w:tblPr>
        <w:tblStyle w:val="Tablaconcuadrcula"/>
        <w:tblW w:w="0" w:type="auto"/>
        <w:tblLayout w:type="fixed"/>
        <w:tblLook w:val="04A0" w:firstRow="1" w:lastRow="0" w:firstColumn="1" w:lastColumn="0" w:noHBand="0" w:noVBand="1"/>
      </w:tblPr>
      <w:tblGrid>
        <w:gridCol w:w="1242"/>
        <w:gridCol w:w="1418"/>
        <w:gridCol w:w="850"/>
        <w:gridCol w:w="3261"/>
        <w:gridCol w:w="2835"/>
        <w:gridCol w:w="3543"/>
      </w:tblGrid>
      <w:tr w:rsidR="00B86E28" w:rsidTr="00B10E78">
        <w:tc>
          <w:tcPr>
            <w:tcW w:w="1242" w:type="dxa"/>
          </w:tcPr>
          <w:p w:rsidR="00B86E28" w:rsidRPr="0028732A" w:rsidRDefault="00B86E28" w:rsidP="00864D49">
            <w:pPr>
              <w:jc w:val="both"/>
              <w:rPr>
                <w:rFonts w:ascii="Arial" w:hAnsi="Arial" w:cs="Arial"/>
                <w:sz w:val="20"/>
                <w:szCs w:val="20"/>
              </w:rPr>
            </w:pPr>
            <w:r w:rsidRPr="0028732A">
              <w:rPr>
                <w:rFonts w:ascii="Arial" w:hAnsi="Arial" w:cs="Arial"/>
                <w:sz w:val="20"/>
                <w:szCs w:val="20"/>
              </w:rPr>
              <w:t>fármaco</w:t>
            </w:r>
          </w:p>
        </w:tc>
        <w:tc>
          <w:tcPr>
            <w:tcW w:w="1418" w:type="dxa"/>
          </w:tcPr>
          <w:p w:rsidR="00B86E28" w:rsidRPr="0028732A" w:rsidRDefault="00B86E28" w:rsidP="00864D49">
            <w:pPr>
              <w:jc w:val="both"/>
              <w:rPr>
                <w:rFonts w:ascii="Arial" w:hAnsi="Arial" w:cs="Arial"/>
                <w:sz w:val="20"/>
                <w:szCs w:val="20"/>
              </w:rPr>
            </w:pPr>
            <w:r w:rsidRPr="0028732A">
              <w:rPr>
                <w:rFonts w:ascii="Arial" w:hAnsi="Arial" w:cs="Arial"/>
                <w:sz w:val="20"/>
                <w:szCs w:val="20"/>
              </w:rPr>
              <w:t xml:space="preserve">Clasificación </w:t>
            </w:r>
          </w:p>
        </w:tc>
        <w:tc>
          <w:tcPr>
            <w:tcW w:w="850" w:type="dxa"/>
          </w:tcPr>
          <w:p w:rsidR="00B86E28" w:rsidRPr="0028732A" w:rsidRDefault="00B86E28" w:rsidP="00864D49">
            <w:pPr>
              <w:jc w:val="both"/>
              <w:rPr>
                <w:rFonts w:ascii="Arial" w:hAnsi="Arial" w:cs="Arial"/>
                <w:sz w:val="20"/>
                <w:szCs w:val="20"/>
              </w:rPr>
            </w:pPr>
            <w:r w:rsidRPr="0028732A">
              <w:rPr>
                <w:rFonts w:ascii="Arial" w:hAnsi="Arial" w:cs="Arial"/>
                <w:sz w:val="20"/>
                <w:szCs w:val="20"/>
              </w:rPr>
              <w:t xml:space="preserve">Vía de </w:t>
            </w:r>
            <w:r>
              <w:rPr>
                <w:rFonts w:ascii="Arial" w:hAnsi="Arial" w:cs="Arial"/>
                <w:sz w:val="20"/>
                <w:szCs w:val="20"/>
              </w:rPr>
              <w:t>adm.</w:t>
            </w:r>
            <w:r w:rsidRPr="0028732A">
              <w:rPr>
                <w:rFonts w:ascii="Arial" w:hAnsi="Arial" w:cs="Arial"/>
                <w:sz w:val="20"/>
                <w:szCs w:val="20"/>
              </w:rPr>
              <w:t xml:space="preserve"> </w:t>
            </w:r>
          </w:p>
        </w:tc>
        <w:tc>
          <w:tcPr>
            <w:tcW w:w="3261" w:type="dxa"/>
          </w:tcPr>
          <w:p w:rsidR="00B86E28" w:rsidRPr="0028732A" w:rsidRDefault="00B86E28" w:rsidP="00864D49">
            <w:pPr>
              <w:jc w:val="both"/>
              <w:rPr>
                <w:rFonts w:ascii="Arial" w:hAnsi="Arial" w:cs="Arial"/>
                <w:sz w:val="20"/>
                <w:szCs w:val="20"/>
              </w:rPr>
            </w:pPr>
            <w:r w:rsidRPr="0028732A">
              <w:rPr>
                <w:rFonts w:ascii="Arial" w:hAnsi="Arial" w:cs="Arial"/>
                <w:sz w:val="20"/>
                <w:szCs w:val="20"/>
              </w:rPr>
              <w:t>Efectos secundarios</w:t>
            </w:r>
          </w:p>
        </w:tc>
        <w:tc>
          <w:tcPr>
            <w:tcW w:w="2835" w:type="dxa"/>
          </w:tcPr>
          <w:p w:rsidR="00B86E28" w:rsidRPr="0028732A" w:rsidRDefault="00B86E28" w:rsidP="00864D49">
            <w:pPr>
              <w:jc w:val="both"/>
              <w:rPr>
                <w:rFonts w:ascii="Arial" w:hAnsi="Arial" w:cs="Arial"/>
                <w:sz w:val="20"/>
                <w:szCs w:val="20"/>
              </w:rPr>
            </w:pPr>
            <w:r w:rsidRPr="0028732A">
              <w:rPr>
                <w:rFonts w:ascii="Arial" w:hAnsi="Arial" w:cs="Arial"/>
                <w:sz w:val="20"/>
                <w:szCs w:val="20"/>
              </w:rPr>
              <w:t>Consideraciones especiales</w:t>
            </w:r>
          </w:p>
        </w:tc>
        <w:tc>
          <w:tcPr>
            <w:tcW w:w="3543" w:type="dxa"/>
          </w:tcPr>
          <w:p w:rsidR="00B86E28" w:rsidRPr="0028732A" w:rsidRDefault="00B86E28" w:rsidP="00864D49">
            <w:pPr>
              <w:jc w:val="both"/>
              <w:rPr>
                <w:rFonts w:ascii="Arial" w:hAnsi="Arial" w:cs="Arial"/>
                <w:sz w:val="20"/>
                <w:szCs w:val="20"/>
              </w:rPr>
            </w:pPr>
            <w:r w:rsidRPr="0028732A">
              <w:rPr>
                <w:rFonts w:ascii="Arial" w:hAnsi="Arial" w:cs="Arial"/>
                <w:sz w:val="20"/>
                <w:szCs w:val="20"/>
              </w:rPr>
              <w:t>Acciones de enfermería</w:t>
            </w:r>
          </w:p>
        </w:tc>
      </w:tr>
      <w:tr w:rsidR="00B86E28" w:rsidTr="00B10E78">
        <w:tc>
          <w:tcPr>
            <w:tcW w:w="1242" w:type="dxa"/>
          </w:tcPr>
          <w:p w:rsidR="00B86E28" w:rsidRDefault="00B86E28" w:rsidP="00864D49">
            <w:pPr>
              <w:jc w:val="both"/>
              <w:rPr>
                <w:rFonts w:ascii="Arial" w:hAnsi="Arial" w:cs="Arial"/>
                <w:sz w:val="16"/>
                <w:szCs w:val="16"/>
              </w:rPr>
            </w:pPr>
          </w:p>
          <w:p w:rsidR="000D3439" w:rsidRPr="00035BF7" w:rsidRDefault="000D3439" w:rsidP="00864D49">
            <w:pPr>
              <w:jc w:val="both"/>
              <w:rPr>
                <w:rFonts w:ascii="Arial" w:hAnsi="Arial" w:cs="Arial"/>
                <w:sz w:val="16"/>
                <w:szCs w:val="16"/>
              </w:rPr>
            </w:pPr>
            <w:r>
              <w:rPr>
                <w:rFonts w:ascii="Arial" w:hAnsi="Arial" w:cs="Arial"/>
                <w:sz w:val="16"/>
                <w:szCs w:val="16"/>
              </w:rPr>
              <w:t>Paclitaxel (Taxol, Onxol)</w:t>
            </w:r>
          </w:p>
        </w:tc>
        <w:tc>
          <w:tcPr>
            <w:tcW w:w="1418" w:type="dxa"/>
          </w:tcPr>
          <w:p w:rsidR="00B86E28" w:rsidRDefault="00B86E28" w:rsidP="00864D49">
            <w:pPr>
              <w:jc w:val="both"/>
              <w:rPr>
                <w:rFonts w:ascii="Arial" w:hAnsi="Arial" w:cs="Arial"/>
                <w:sz w:val="16"/>
                <w:szCs w:val="16"/>
              </w:rPr>
            </w:pPr>
          </w:p>
          <w:p w:rsidR="000D3439" w:rsidRPr="00035BF7" w:rsidRDefault="000D3439" w:rsidP="00864D49">
            <w:pPr>
              <w:jc w:val="both"/>
              <w:rPr>
                <w:rFonts w:ascii="Arial" w:hAnsi="Arial" w:cs="Arial"/>
                <w:sz w:val="16"/>
                <w:szCs w:val="16"/>
              </w:rPr>
            </w:pPr>
            <w:r>
              <w:rPr>
                <w:rFonts w:ascii="Arial" w:hAnsi="Arial" w:cs="Arial"/>
                <w:sz w:val="16"/>
                <w:szCs w:val="16"/>
              </w:rPr>
              <w:t>Derivado vegetal</w:t>
            </w:r>
          </w:p>
        </w:tc>
        <w:tc>
          <w:tcPr>
            <w:tcW w:w="850" w:type="dxa"/>
          </w:tcPr>
          <w:p w:rsidR="00B86E28" w:rsidRDefault="00B86E28" w:rsidP="00864D49">
            <w:pPr>
              <w:jc w:val="both"/>
              <w:rPr>
                <w:rFonts w:ascii="Arial" w:hAnsi="Arial" w:cs="Arial"/>
                <w:sz w:val="16"/>
                <w:szCs w:val="16"/>
              </w:rPr>
            </w:pPr>
          </w:p>
          <w:p w:rsidR="000D3439" w:rsidRPr="00035BF7" w:rsidRDefault="000D3439" w:rsidP="00864D49">
            <w:pPr>
              <w:jc w:val="both"/>
              <w:rPr>
                <w:rFonts w:ascii="Arial" w:hAnsi="Arial" w:cs="Arial"/>
                <w:sz w:val="16"/>
                <w:szCs w:val="16"/>
              </w:rPr>
            </w:pPr>
            <w:r>
              <w:rPr>
                <w:rFonts w:ascii="Arial" w:hAnsi="Arial" w:cs="Arial"/>
                <w:sz w:val="16"/>
                <w:szCs w:val="16"/>
              </w:rPr>
              <w:t>IV</w:t>
            </w:r>
          </w:p>
        </w:tc>
        <w:tc>
          <w:tcPr>
            <w:tcW w:w="3261" w:type="dxa"/>
          </w:tcPr>
          <w:p w:rsidR="00B86E28" w:rsidRDefault="00B86E28" w:rsidP="00864D49">
            <w:pPr>
              <w:jc w:val="both"/>
              <w:rPr>
                <w:rFonts w:ascii="Arial" w:hAnsi="Arial" w:cs="Arial"/>
                <w:sz w:val="16"/>
                <w:szCs w:val="16"/>
              </w:rPr>
            </w:pPr>
          </w:p>
          <w:p w:rsidR="00B86E28" w:rsidRDefault="000D3439" w:rsidP="00864D49">
            <w:pPr>
              <w:jc w:val="both"/>
              <w:rPr>
                <w:rFonts w:ascii="Arial" w:hAnsi="Arial" w:cs="Arial"/>
                <w:sz w:val="16"/>
                <w:szCs w:val="16"/>
              </w:rPr>
            </w:pPr>
            <w:r>
              <w:rPr>
                <w:rFonts w:ascii="Arial" w:hAnsi="Arial" w:cs="Arial"/>
                <w:sz w:val="16"/>
                <w:szCs w:val="16"/>
              </w:rPr>
              <w:t xml:space="preserve">Frecuentes: dolor, </w:t>
            </w:r>
            <w:r w:rsidR="0044587A">
              <w:rPr>
                <w:rFonts w:ascii="Arial" w:hAnsi="Arial" w:cs="Arial"/>
                <w:sz w:val="16"/>
                <w:szCs w:val="16"/>
              </w:rPr>
              <w:t>hinchazón</w:t>
            </w:r>
            <w:r>
              <w:rPr>
                <w:rFonts w:ascii="Arial" w:hAnsi="Arial" w:cs="Arial"/>
                <w:sz w:val="16"/>
                <w:szCs w:val="16"/>
              </w:rPr>
              <w:t>, eritema si se extravasa, mielosupresión, reflejos tendinosos profundos</w:t>
            </w:r>
            <w:r w:rsidR="0044587A">
              <w:rPr>
                <w:rFonts w:ascii="Arial" w:hAnsi="Arial" w:cs="Arial"/>
                <w:sz w:val="16"/>
                <w:szCs w:val="16"/>
              </w:rPr>
              <w:t xml:space="preserve"> disminuidos o ausentes, alopecia, fatiga.</w:t>
            </w:r>
          </w:p>
          <w:p w:rsidR="0044587A" w:rsidRDefault="0044587A" w:rsidP="00864D49">
            <w:pPr>
              <w:jc w:val="both"/>
              <w:rPr>
                <w:rFonts w:ascii="Arial" w:hAnsi="Arial" w:cs="Arial"/>
                <w:sz w:val="16"/>
                <w:szCs w:val="16"/>
              </w:rPr>
            </w:pPr>
            <w:r>
              <w:rPr>
                <w:rFonts w:ascii="Arial" w:hAnsi="Arial" w:cs="Arial"/>
                <w:sz w:val="16"/>
                <w:szCs w:val="16"/>
              </w:rPr>
              <w:t>Ocasionales: reacción anafiláctica aguda, náuseas, vómito, dolor de cabeza, erupción, mucositis, diarrea, fiebre, adormecimiento de guante y calcetín, hiperestesia sin sensación de ardor, mialgias leves a severas, aumento en los niveles triglicéridos.</w:t>
            </w:r>
          </w:p>
          <w:p w:rsidR="0044587A" w:rsidRDefault="0044587A" w:rsidP="00864D49">
            <w:pPr>
              <w:jc w:val="both"/>
              <w:rPr>
                <w:rFonts w:ascii="Arial" w:hAnsi="Arial" w:cs="Arial"/>
                <w:sz w:val="16"/>
                <w:szCs w:val="16"/>
              </w:rPr>
            </w:pPr>
            <w:r>
              <w:rPr>
                <w:rFonts w:ascii="Arial" w:hAnsi="Arial" w:cs="Arial"/>
                <w:sz w:val="16"/>
                <w:szCs w:val="16"/>
              </w:rPr>
              <w:t xml:space="preserve">Raros: fiebre, bradicardia, convulsiones, hinchazón, eritema, coma, toxicidad pulmonar, diplopía, visión borrosa, alteraciones visuales, confusión y desorientación, </w:t>
            </w:r>
            <w:r w:rsidR="00B10E78">
              <w:rPr>
                <w:rFonts w:ascii="Arial" w:hAnsi="Arial" w:cs="Arial"/>
                <w:sz w:val="16"/>
                <w:szCs w:val="16"/>
              </w:rPr>
              <w:t>disgeusia (trastorno del gusto), pancreatitis, dolor abdominal, cistitis hemorrágica.</w:t>
            </w:r>
          </w:p>
          <w:p w:rsidR="00B86E28" w:rsidRPr="00035BF7" w:rsidRDefault="00B86E28" w:rsidP="00864D49">
            <w:pPr>
              <w:jc w:val="both"/>
              <w:rPr>
                <w:rFonts w:ascii="Arial" w:hAnsi="Arial" w:cs="Arial"/>
                <w:sz w:val="16"/>
                <w:szCs w:val="16"/>
              </w:rPr>
            </w:pPr>
          </w:p>
        </w:tc>
        <w:tc>
          <w:tcPr>
            <w:tcW w:w="2835" w:type="dxa"/>
          </w:tcPr>
          <w:p w:rsidR="00B86E28" w:rsidRDefault="00B86E28" w:rsidP="00864D49">
            <w:pPr>
              <w:jc w:val="both"/>
              <w:rPr>
                <w:rFonts w:ascii="Arial" w:hAnsi="Arial" w:cs="Arial"/>
                <w:sz w:val="16"/>
                <w:szCs w:val="16"/>
              </w:rPr>
            </w:pPr>
          </w:p>
          <w:p w:rsidR="00B10E78" w:rsidRPr="00035BF7" w:rsidRDefault="00B10E78" w:rsidP="00864D49">
            <w:pPr>
              <w:jc w:val="both"/>
              <w:rPr>
                <w:rFonts w:ascii="Arial" w:hAnsi="Arial" w:cs="Arial"/>
                <w:sz w:val="16"/>
                <w:szCs w:val="16"/>
              </w:rPr>
            </w:pPr>
            <w:r>
              <w:rPr>
                <w:rFonts w:ascii="Arial" w:hAnsi="Arial" w:cs="Arial"/>
                <w:sz w:val="16"/>
                <w:szCs w:val="16"/>
              </w:rPr>
              <w:t>No administrar en ningún tipo de bolsa o línea de PVC.</w:t>
            </w:r>
          </w:p>
        </w:tc>
        <w:tc>
          <w:tcPr>
            <w:tcW w:w="3543" w:type="dxa"/>
          </w:tcPr>
          <w:p w:rsidR="00B86E28" w:rsidRDefault="00B86E28" w:rsidP="00864D49">
            <w:pPr>
              <w:jc w:val="both"/>
              <w:rPr>
                <w:rFonts w:ascii="Arial" w:hAnsi="Arial" w:cs="Arial"/>
                <w:sz w:val="16"/>
                <w:szCs w:val="16"/>
              </w:rPr>
            </w:pPr>
          </w:p>
          <w:p w:rsidR="00B10E78" w:rsidRDefault="00B10E78" w:rsidP="00864D49">
            <w:pPr>
              <w:jc w:val="both"/>
              <w:rPr>
                <w:rFonts w:ascii="Arial" w:hAnsi="Arial" w:cs="Arial"/>
                <w:sz w:val="16"/>
                <w:szCs w:val="16"/>
              </w:rPr>
            </w:pPr>
            <w:r>
              <w:rPr>
                <w:rFonts w:ascii="Arial" w:hAnsi="Arial" w:cs="Arial"/>
                <w:sz w:val="16"/>
                <w:szCs w:val="16"/>
              </w:rPr>
              <w:t>Irritante: evitar la extravasación.</w:t>
            </w:r>
          </w:p>
          <w:p w:rsidR="00B10E78" w:rsidRDefault="00B10E78" w:rsidP="00864D49">
            <w:pPr>
              <w:jc w:val="both"/>
              <w:rPr>
                <w:rFonts w:ascii="Arial" w:hAnsi="Arial" w:cs="Arial"/>
                <w:sz w:val="16"/>
                <w:szCs w:val="16"/>
              </w:rPr>
            </w:pPr>
            <w:r>
              <w:rPr>
                <w:rFonts w:ascii="Arial" w:hAnsi="Arial" w:cs="Arial"/>
                <w:sz w:val="16"/>
                <w:szCs w:val="16"/>
              </w:rPr>
              <w:t>Premedicar con difenhidramina, dexametasona y un bloqueador del receptor H2.</w:t>
            </w:r>
          </w:p>
          <w:p w:rsidR="00B10E78" w:rsidRDefault="00B10E78" w:rsidP="00864D49">
            <w:pPr>
              <w:jc w:val="both"/>
              <w:rPr>
                <w:rFonts w:ascii="Arial" w:hAnsi="Arial" w:cs="Arial"/>
                <w:sz w:val="16"/>
                <w:szCs w:val="16"/>
              </w:rPr>
            </w:pPr>
            <w:r>
              <w:rPr>
                <w:rFonts w:ascii="Arial" w:hAnsi="Arial" w:cs="Arial"/>
                <w:sz w:val="16"/>
                <w:szCs w:val="16"/>
              </w:rPr>
              <w:t>Usar filtros, ya que pueden aparecer pequeñas fibras tras la dilución.</w:t>
            </w:r>
          </w:p>
          <w:p w:rsidR="00B10E78" w:rsidRPr="00035BF7" w:rsidRDefault="00B10E78" w:rsidP="00864D49">
            <w:pPr>
              <w:jc w:val="both"/>
              <w:rPr>
                <w:rFonts w:ascii="Arial" w:hAnsi="Arial" w:cs="Arial"/>
                <w:sz w:val="16"/>
                <w:szCs w:val="16"/>
              </w:rPr>
            </w:pPr>
          </w:p>
        </w:tc>
      </w:tr>
      <w:tr w:rsidR="00B86E28" w:rsidTr="00B10E78">
        <w:tc>
          <w:tcPr>
            <w:tcW w:w="1242" w:type="dxa"/>
          </w:tcPr>
          <w:p w:rsidR="00B86E28" w:rsidRDefault="00B86E28" w:rsidP="00864D49">
            <w:pPr>
              <w:jc w:val="both"/>
              <w:rPr>
                <w:rFonts w:ascii="Arial" w:hAnsi="Arial" w:cs="Arial"/>
                <w:sz w:val="16"/>
                <w:szCs w:val="16"/>
              </w:rPr>
            </w:pPr>
          </w:p>
          <w:p w:rsidR="00B10E78" w:rsidRPr="00035BF7" w:rsidRDefault="00B10E78" w:rsidP="00864D49">
            <w:pPr>
              <w:jc w:val="both"/>
              <w:rPr>
                <w:rFonts w:ascii="Arial" w:hAnsi="Arial" w:cs="Arial"/>
                <w:sz w:val="16"/>
                <w:szCs w:val="16"/>
              </w:rPr>
            </w:pPr>
            <w:r>
              <w:rPr>
                <w:rFonts w:ascii="Arial" w:hAnsi="Arial" w:cs="Arial"/>
                <w:sz w:val="16"/>
                <w:szCs w:val="16"/>
              </w:rPr>
              <w:t>Procarbazina (Matulane, Natulan)</w:t>
            </w:r>
          </w:p>
        </w:tc>
        <w:tc>
          <w:tcPr>
            <w:tcW w:w="1418" w:type="dxa"/>
          </w:tcPr>
          <w:p w:rsidR="00B86E28" w:rsidRDefault="00B86E28" w:rsidP="00864D49">
            <w:pPr>
              <w:jc w:val="both"/>
              <w:rPr>
                <w:rFonts w:ascii="Arial" w:hAnsi="Arial" w:cs="Arial"/>
                <w:sz w:val="16"/>
                <w:szCs w:val="16"/>
              </w:rPr>
            </w:pPr>
          </w:p>
          <w:p w:rsidR="00B10E78" w:rsidRPr="00035BF7" w:rsidRDefault="00B10E78" w:rsidP="00864D49">
            <w:pPr>
              <w:jc w:val="both"/>
              <w:rPr>
                <w:rFonts w:ascii="Arial" w:hAnsi="Arial" w:cs="Arial"/>
                <w:sz w:val="16"/>
                <w:szCs w:val="16"/>
              </w:rPr>
            </w:pPr>
            <w:r>
              <w:rPr>
                <w:rFonts w:ascii="Arial" w:hAnsi="Arial" w:cs="Arial"/>
                <w:sz w:val="16"/>
                <w:szCs w:val="16"/>
              </w:rPr>
              <w:t>misceláneos</w:t>
            </w:r>
          </w:p>
        </w:tc>
        <w:tc>
          <w:tcPr>
            <w:tcW w:w="850" w:type="dxa"/>
          </w:tcPr>
          <w:p w:rsidR="00B86E28" w:rsidRDefault="00B86E28" w:rsidP="00864D49">
            <w:pPr>
              <w:jc w:val="both"/>
              <w:rPr>
                <w:rFonts w:ascii="Arial" w:hAnsi="Arial" w:cs="Arial"/>
                <w:sz w:val="16"/>
                <w:szCs w:val="16"/>
              </w:rPr>
            </w:pPr>
          </w:p>
          <w:p w:rsidR="00B10E78" w:rsidRPr="00035BF7" w:rsidRDefault="00BB0B40" w:rsidP="00864D49">
            <w:pPr>
              <w:jc w:val="both"/>
              <w:rPr>
                <w:rFonts w:ascii="Arial" w:hAnsi="Arial" w:cs="Arial"/>
                <w:sz w:val="16"/>
                <w:szCs w:val="16"/>
              </w:rPr>
            </w:pPr>
            <w:r>
              <w:rPr>
                <w:rFonts w:ascii="Arial" w:hAnsi="Arial" w:cs="Arial"/>
                <w:sz w:val="16"/>
                <w:szCs w:val="16"/>
              </w:rPr>
              <w:t>O</w:t>
            </w:r>
            <w:r w:rsidR="00B10E78">
              <w:rPr>
                <w:rFonts w:ascii="Arial" w:hAnsi="Arial" w:cs="Arial"/>
                <w:sz w:val="16"/>
                <w:szCs w:val="16"/>
              </w:rPr>
              <w:t>ral</w:t>
            </w:r>
          </w:p>
        </w:tc>
        <w:tc>
          <w:tcPr>
            <w:tcW w:w="3261" w:type="dxa"/>
          </w:tcPr>
          <w:p w:rsidR="00B86E28" w:rsidRDefault="00B86E28" w:rsidP="00864D49">
            <w:pPr>
              <w:jc w:val="both"/>
              <w:rPr>
                <w:rFonts w:ascii="Arial" w:hAnsi="Arial" w:cs="Arial"/>
                <w:sz w:val="16"/>
                <w:szCs w:val="16"/>
              </w:rPr>
            </w:pPr>
          </w:p>
          <w:p w:rsidR="00B10E78" w:rsidRDefault="00B10E78" w:rsidP="00864D49">
            <w:pPr>
              <w:jc w:val="both"/>
              <w:rPr>
                <w:rFonts w:ascii="Arial" w:hAnsi="Arial" w:cs="Arial"/>
                <w:sz w:val="16"/>
                <w:szCs w:val="16"/>
              </w:rPr>
            </w:pPr>
            <w:r>
              <w:rPr>
                <w:rFonts w:ascii="Arial" w:hAnsi="Arial" w:cs="Arial"/>
                <w:sz w:val="16"/>
                <w:szCs w:val="16"/>
              </w:rPr>
              <w:t>Frecuentes: náuseas, vómito, diarrea, anorexia, mielosupresión, alopecia.</w:t>
            </w:r>
          </w:p>
          <w:p w:rsidR="00B10E78" w:rsidRDefault="00B10E78" w:rsidP="00864D49">
            <w:pPr>
              <w:jc w:val="both"/>
              <w:rPr>
                <w:rFonts w:ascii="Arial" w:hAnsi="Arial" w:cs="Arial"/>
                <w:sz w:val="16"/>
                <w:szCs w:val="16"/>
              </w:rPr>
            </w:pPr>
            <w:r>
              <w:rPr>
                <w:rFonts w:ascii="Arial" w:hAnsi="Arial" w:cs="Arial"/>
                <w:sz w:val="16"/>
                <w:szCs w:val="16"/>
              </w:rPr>
              <w:t>Ocasionales: dolor de cabeza, síndrome</w:t>
            </w:r>
            <w:r w:rsidR="004461B4">
              <w:rPr>
                <w:rFonts w:ascii="Arial" w:hAnsi="Arial" w:cs="Arial"/>
                <w:sz w:val="16"/>
                <w:szCs w:val="16"/>
              </w:rPr>
              <w:t xml:space="preserve"> tipo fiebre, disfunción gonodal (alteración de la función testicular) o esterilidad.</w:t>
            </w:r>
          </w:p>
          <w:p w:rsidR="004461B4" w:rsidRDefault="004461B4" w:rsidP="00864D49">
            <w:pPr>
              <w:jc w:val="both"/>
              <w:rPr>
                <w:rFonts w:ascii="Arial" w:hAnsi="Arial" w:cs="Arial"/>
                <w:sz w:val="16"/>
                <w:szCs w:val="16"/>
              </w:rPr>
            </w:pPr>
            <w:r>
              <w:rPr>
                <w:rFonts w:ascii="Arial" w:hAnsi="Arial" w:cs="Arial"/>
                <w:sz w:val="16"/>
                <w:szCs w:val="16"/>
              </w:rPr>
              <w:t>Raros: pesadillas, alucinaciones, depresión, insomnio, convulsiones, coma, estomatitis, prurito, erupción, hipertensión, cáncer secundario, anemia hemolítica.</w:t>
            </w:r>
          </w:p>
          <w:p w:rsidR="00B10E78" w:rsidRPr="00035BF7" w:rsidRDefault="00B10E78" w:rsidP="00864D49">
            <w:pPr>
              <w:jc w:val="both"/>
              <w:rPr>
                <w:rFonts w:ascii="Arial" w:hAnsi="Arial" w:cs="Arial"/>
                <w:sz w:val="16"/>
                <w:szCs w:val="16"/>
              </w:rPr>
            </w:pPr>
          </w:p>
        </w:tc>
        <w:tc>
          <w:tcPr>
            <w:tcW w:w="2835" w:type="dxa"/>
          </w:tcPr>
          <w:p w:rsidR="00B86E28" w:rsidRDefault="00B86E28" w:rsidP="00864D49">
            <w:pPr>
              <w:jc w:val="both"/>
              <w:rPr>
                <w:rFonts w:ascii="Arial" w:hAnsi="Arial" w:cs="Arial"/>
                <w:sz w:val="16"/>
                <w:szCs w:val="16"/>
              </w:rPr>
            </w:pPr>
          </w:p>
          <w:p w:rsidR="004461B4" w:rsidRDefault="004461B4" w:rsidP="00864D49">
            <w:pPr>
              <w:jc w:val="both"/>
              <w:rPr>
                <w:rFonts w:ascii="Arial" w:hAnsi="Arial" w:cs="Arial"/>
                <w:sz w:val="16"/>
                <w:szCs w:val="16"/>
              </w:rPr>
            </w:pPr>
            <w:r>
              <w:rPr>
                <w:rFonts w:ascii="Arial" w:hAnsi="Arial" w:cs="Arial"/>
                <w:sz w:val="16"/>
                <w:szCs w:val="16"/>
              </w:rPr>
              <w:t>La hipertensión y/o la depresión d</w:t>
            </w:r>
            <w:r w:rsidR="00DD4DE9">
              <w:rPr>
                <w:rFonts w:ascii="Arial" w:hAnsi="Arial" w:cs="Arial"/>
                <w:sz w:val="16"/>
                <w:szCs w:val="16"/>
              </w:rPr>
              <w:t>e</w:t>
            </w:r>
            <w:r>
              <w:rPr>
                <w:rFonts w:ascii="Arial" w:hAnsi="Arial" w:cs="Arial"/>
                <w:sz w:val="16"/>
                <w:szCs w:val="16"/>
              </w:rPr>
              <w:t xml:space="preserve">l sistema nervioso central puede ocurrir en la presencia de alcohol, inhibidores de la monoaminoxidasa (MAO), fenotiazinas, fenitoína, antidepresivos tricíclicos, barbitúricos y alimentos con alto contenido de tiramina como quesos añejos, vino, banana, </w:t>
            </w:r>
            <w:r w:rsidR="00DD4DE9">
              <w:rPr>
                <w:rFonts w:ascii="Arial" w:hAnsi="Arial" w:cs="Arial"/>
                <w:sz w:val="16"/>
                <w:szCs w:val="16"/>
              </w:rPr>
              <w:t>yogurt</w:t>
            </w:r>
            <w:r>
              <w:rPr>
                <w:rFonts w:ascii="Arial" w:hAnsi="Arial" w:cs="Arial"/>
                <w:sz w:val="16"/>
                <w:szCs w:val="16"/>
              </w:rPr>
              <w:t>, chocolate.</w:t>
            </w:r>
          </w:p>
          <w:p w:rsidR="00F8348E" w:rsidRPr="00035BF7" w:rsidRDefault="00F8348E" w:rsidP="00864D49">
            <w:pPr>
              <w:jc w:val="both"/>
              <w:rPr>
                <w:rFonts w:ascii="Arial" w:hAnsi="Arial" w:cs="Arial"/>
                <w:sz w:val="16"/>
                <w:szCs w:val="16"/>
              </w:rPr>
            </w:pPr>
          </w:p>
        </w:tc>
        <w:tc>
          <w:tcPr>
            <w:tcW w:w="3543" w:type="dxa"/>
          </w:tcPr>
          <w:p w:rsidR="00B86E28" w:rsidRDefault="00B86E28" w:rsidP="00864D49">
            <w:pPr>
              <w:jc w:val="both"/>
              <w:rPr>
                <w:rFonts w:ascii="Arial" w:hAnsi="Arial" w:cs="Arial"/>
                <w:sz w:val="16"/>
                <w:szCs w:val="16"/>
              </w:rPr>
            </w:pPr>
          </w:p>
          <w:p w:rsidR="00DD4DE9" w:rsidRDefault="00DD4DE9" w:rsidP="00864D49">
            <w:pPr>
              <w:jc w:val="both"/>
              <w:rPr>
                <w:rFonts w:ascii="Arial" w:hAnsi="Arial" w:cs="Arial"/>
                <w:sz w:val="16"/>
                <w:szCs w:val="16"/>
              </w:rPr>
            </w:pPr>
            <w:r>
              <w:rPr>
                <w:rFonts w:ascii="Arial" w:hAnsi="Arial" w:cs="Arial"/>
                <w:sz w:val="16"/>
                <w:szCs w:val="16"/>
              </w:rPr>
              <w:t>Entregar una lista por escrito de los alimentos y medicamentos que deben evitarse mientras se está en tratamiento con la procarbazina.</w:t>
            </w:r>
          </w:p>
          <w:p w:rsidR="00DD4DE9" w:rsidRPr="00035BF7" w:rsidRDefault="00DD4DE9" w:rsidP="00864D49">
            <w:pPr>
              <w:jc w:val="both"/>
              <w:rPr>
                <w:rFonts w:ascii="Arial" w:hAnsi="Arial" w:cs="Arial"/>
                <w:sz w:val="16"/>
                <w:szCs w:val="16"/>
              </w:rPr>
            </w:pPr>
            <w:r>
              <w:rPr>
                <w:rFonts w:ascii="Arial" w:hAnsi="Arial" w:cs="Arial"/>
                <w:sz w:val="16"/>
                <w:szCs w:val="16"/>
              </w:rPr>
              <w:t>Tomar 1 hora antes o 2 horas después de los alimentos.</w:t>
            </w:r>
          </w:p>
        </w:tc>
      </w:tr>
    </w:tbl>
    <w:p w:rsidR="00B86E28" w:rsidRDefault="00B86E28" w:rsidP="00B86E28">
      <w:pPr>
        <w:jc w:val="both"/>
        <w:rPr>
          <w:rFonts w:ascii="Arial" w:hAnsi="Arial" w:cs="Arial"/>
          <w:sz w:val="24"/>
          <w:szCs w:val="24"/>
        </w:rPr>
      </w:pPr>
    </w:p>
    <w:p w:rsidR="00FB74E9" w:rsidRDefault="00FB74E9" w:rsidP="0045504C">
      <w:pPr>
        <w:jc w:val="both"/>
        <w:rPr>
          <w:rFonts w:ascii="Arial" w:hAnsi="Arial" w:cs="Arial"/>
          <w:sz w:val="24"/>
          <w:szCs w:val="24"/>
        </w:rPr>
      </w:pPr>
    </w:p>
    <w:p w:rsidR="00DD4DE9" w:rsidRDefault="00DD4DE9" w:rsidP="00DD4DE9">
      <w:pPr>
        <w:jc w:val="both"/>
        <w:rPr>
          <w:rFonts w:ascii="Arial" w:hAnsi="Arial" w:cs="Arial"/>
          <w:sz w:val="24"/>
          <w:szCs w:val="24"/>
        </w:rPr>
      </w:pPr>
      <w:r w:rsidRPr="00EE32DA">
        <w:rPr>
          <w:rFonts w:ascii="Arial" w:hAnsi="Arial" w:cs="Arial"/>
          <w:sz w:val="24"/>
          <w:szCs w:val="24"/>
        </w:rPr>
        <w:lastRenderedPageBreak/>
        <w:t>Tabla 1 Agentes quimioterapéuticos</w:t>
      </w:r>
    </w:p>
    <w:tbl>
      <w:tblPr>
        <w:tblStyle w:val="Tablaconcuadrcula"/>
        <w:tblW w:w="0" w:type="auto"/>
        <w:tblLook w:val="04A0" w:firstRow="1" w:lastRow="0" w:firstColumn="1" w:lastColumn="0" w:noHBand="0" w:noVBand="1"/>
      </w:tblPr>
      <w:tblGrid>
        <w:gridCol w:w="1384"/>
        <w:gridCol w:w="1339"/>
        <w:gridCol w:w="850"/>
        <w:gridCol w:w="2694"/>
        <w:gridCol w:w="2835"/>
        <w:gridCol w:w="4107"/>
      </w:tblGrid>
      <w:tr w:rsidR="00022DD7" w:rsidTr="00022DD7">
        <w:tc>
          <w:tcPr>
            <w:tcW w:w="1384" w:type="dxa"/>
          </w:tcPr>
          <w:p w:rsidR="00022DD7" w:rsidRDefault="00022DD7" w:rsidP="00E5777C">
            <w:pPr>
              <w:jc w:val="both"/>
              <w:rPr>
                <w:rFonts w:ascii="Arial" w:hAnsi="Arial" w:cs="Arial"/>
                <w:sz w:val="20"/>
                <w:szCs w:val="20"/>
              </w:rPr>
            </w:pPr>
            <w:r w:rsidRPr="0028732A">
              <w:rPr>
                <w:rFonts w:ascii="Arial" w:hAnsi="Arial" w:cs="Arial"/>
                <w:sz w:val="20"/>
                <w:szCs w:val="20"/>
              </w:rPr>
              <w:t>Fármaco</w:t>
            </w:r>
          </w:p>
          <w:p w:rsidR="00022DD7" w:rsidRDefault="00022DD7" w:rsidP="00E5777C">
            <w:pPr>
              <w:jc w:val="both"/>
              <w:rPr>
                <w:rFonts w:ascii="Arial" w:hAnsi="Arial" w:cs="Arial"/>
                <w:sz w:val="20"/>
                <w:szCs w:val="20"/>
              </w:rPr>
            </w:pPr>
          </w:p>
          <w:p w:rsidR="00022DD7" w:rsidRPr="0028732A" w:rsidRDefault="00022DD7" w:rsidP="00E5777C">
            <w:pPr>
              <w:jc w:val="both"/>
              <w:rPr>
                <w:rFonts w:ascii="Arial" w:hAnsi="Arial" w:cs="Arial"/>
                <w:sz w:val="20"/>
                <w:szCs w:val="20"/>
              </w:rPr>
            </w:pPr>
          </w:p>
        </w:tc>
        <w:tc>
          <w:tcPr>
            <w:tcW w:w="1339" w:type="dxa"/>
          </w:tcPr>
          <w:p w:rsidR="00022DD7" w:rsidRPr="0028732A" w:rsidRDefault="00022DD7" w:rsidP="00E5777C">
            <w:pPr>
              <w:jc w:val="both"/>
              <w:rPr>
                <w:rFonts w:ascii="Arial" w:hAnsi="Arial" w:cs="Arial"/>
                <w:sz w:val="20"/>
                <w:szCs w:val="20"/>
              </w:rPr>
            </w:pPr>
            <w:r w:rsidRPr="0028732A">
              <w:rPr>
                <w:rFonts w:ascii="Arial" w:hAnsi="Arial" w:cs="Arial"/>
                <w:sz w:val="20"/>
                <w:szCs w:val="20"/>
              </w:rPr>
              <w:t xml:space="preserve">Clasificación </w:t>
            </w:r>
          </w:p>
        </w:tc>
        <w:tc>
          <w:tcPr>
            <w:tcW w:w="850" w:type="dxa"/>
          </w:tcPr>
          <w:p w:rsidR="00022DD7" w:rsidRPr="0028732A" w:rsidRDefault="00022DD7" w:rsidP="00E5777C">
            <w:pPr>
              <w:jc w:val="both"/>
              <w:rPr>
                <w:rFonts w:ascii="Arial" w:hAnsi="Arial" w:cs="Arial"/>
                <w:sz w:val="20"/>
                <w:szCs w:val="20"/>
              </w:rPr>
            </w:pPr>
            <w:r w:rsidRPr="0028732A">
              <w:rPr>
                <w:rFonts w:ascii="Arial" w:hAnsi="Arial" w:cs="Arial"/>
                <w:sz w:val="20"/>
                <w:szCs w:val="20"/>
              </w:rPr>
              <w:t xml:space="preserve">Vía de </w:t>
            </w:r>
            <w:r>
              <w:rPr>
                <w:rFonts w:ascii="Arial" w:hAnsi="Arial" w:cs="Arial"/>
                <w:sz w:val="20"/>
                <w:szCs w:val="20"/>
              </w:rPr>
              <w:t>adm.</w:t>
            </w:r>
            <w:r w:rsidRPr="0028732A">
              <w:rPr>
                <w:rFonts w:ascii="Arial" w:hAnsi="Arial" w:cs="Arial"/>
                <w:sz w:val="20"/>
                <w:szCs w:val="20"/>
              </w:rPr>
              <w:t xml:space="preserve"> </w:t>
            </w:r>
          </w:p>
        </w:tc>
        <w:tc>
          <w:tcPr>
            <w:tcW w:w="2694" w:type="dxa"/>
          </w:tcPr>
          <w:p w:rsidR="00022DD7" w:rsidRPr="0028732A" w:rsidRDefault="00022DD7" w:rsidP="00E5777C">
            <w:pPr>
              <w:jc w:val="both"/>
              <w:rPr>
                <w:rFonts w:ascii="Arial" w:hAnsi="Arial" w:cs="Arial"/>
                <w:sz w:val="20"/>
                <w:szCs w:val="20"/>
              </w:rPr>
            </w:pPr>
            <w:r w:rsidRPr="0028732A">
              <w:rPr>
                <w:rFonts w:ascii="Arial" w:hAnsi="Arial" w:cs="Arial"/>
                <w:sz w:val="20"/>
                <w:szCs w:val="20"/>
              </w:rPr>
              <w:t>Efectos secundarios</w:t>
            </w:r>
          </w:p>
        </w:tc>
        <w:tc>
          <w:tcPr>
            <w:tcW w:w="2835" w:type="dxa"/>
          </w:tcPr>
          <w:p w:rsidR="00022DD7" w:rsidRPr="0028732A" w:rsidRDefault="00022DD7" w:rsidP="00E5777C">
            <w:pPr>
              <w:jc w:val="both"/>
              <w:rPr>
                <w:rFonts w:ascii="Arial" w:hAnsi="Arial" w:cs="Arial"/>
                <w:sz w:val="20"/>
                <w:szCs w:val="20"/>
              </w:rPr>
            </w:pPr>
            <w:r w:rsidRPr="0028732A">
              <w:rPr>
                <w:rFonts w:ascii="Arial" w:hAnsi="Arial" w:cs="Arial"/>
                <w:sz w:val="20"/>
                <w:szCs w:val="20"/>
              </w:rPr>
              <w:t>Consideraciones especiales</w:t>
            </w:r>
          </w:p>
        </w:tc>
        <w:tc>
          <w:tcPr>
            <w:tcW w:w="4107" w:type="dxa"/>
          </w:tcPr>
          <w:p w:rsidR="00022DD7" w:rsidRPr="0028732A" w:rsidRDefault="00022DD7" w:rsidP="00E5777C">
            <w:pPr>
              <w:jc w:val="both"/>
              <w:rPr>
                <w:rFonts w:ascii="Arial" w:hAnsi="Arial" w:cs="Arial"/>
                <w:sz w:val="20"/>
                <w:szCs w:val="20"/>
              </w:rPr>
            </w:pPr>
            <w:r w:rsidRPr="0028732A">
              <w:rPr>
                <w:rFonts w:ascii="Arial" w:hAnsi="Arial" w:cs="Arial"/>
                <w:sz w:val="20"/>
                <w:szCs w:val="20"/>
              </w:rPr>
              <w:t>Acciones de enfermería</w:t>
            </w:r>
          </w:p>
        </w:tc>
      </w:tr>
      <w:tr w:rsidR="00022DD7" w:rsidTr="00022DD7">
        <w:tc>
          <w:tcPr>
            <w:tcW w:w="1384" w:type="dxa"/>
          </w:tcPr>
          <w:p w:rsidR="00022DD7" w:rsidRDefault="00022DD7" w:rsidP="00E5777C">
            <w:pPr>
              <w:jc w:val="both"/>
              <w:rPr>
                <w:rFonts w:ascii="Arial" w:hAnsi="Arial" w:cs="Arial"/>
                <w:sz w:val="16"/>
                <w:szCs w:val="16"/>
              </w:rPr>
            </w:pPr>
          </w:p>
          <w:p w:rsidR="00022DD7" w:rsidRPr="00035BF7" w:rsidRDefault="00022DD7" w:rsidP="00E5777C">
            <w:pPr>
              <w:jc w:val="both"/>
              <w:rPr>
                <w:rFonts w:ascii="Arial" w:hAnsi="Arial" w:cs="Arial"/>
                <w:sz w:val="16"/>
                <w:szCs w:val="16"/>
              </w:rPr>
            </w:pPr>
            <w:r>
              <w:rPr>
                <w:rFonts w:ascii="Arial" w:hAnsi="Arial" w:cs="Arial"/>
                <w:sz w:val="16"/>
                <w:szCs w:val="16"/>
              </w:rPr>
              <w:t>Temozolomida (temodar, temodal)</w:t>
            </w:r>
          </w:p>
        </w:tc>
        <w:tc>
          <w:tcPr>
            <w:tcW w:w="1339" w:type="dxa"/>
          </w:tcPr>
          <w:p w:rsidR="00022DD7" w:rsidRDefault="00022DD7" w:rsidP="00E5777C">
            <w:pPr>
              <w:jc w:val="both"/>
              <w:rPr>
                <w:rFonts w:ascii="Arial" w:hAnsi="Arial" w:cs="Arial"/>
                <w:sz w:val="16"/>
                <w:szCs w:val="16"/>
              </w:rPr>
            </w:pPr>
          </w:p>
          <w:p w:rsidR="00022DD7" w:rsidRPr="00035BF7" w:rsidRDefault="00022DD7" w:rsidP="00E5777C">
            <w:pPr>
              <w:jc w:val="both"/>
              <w:rPr>
                <w:rFonts w:ascii="Arial" w:hAnsi="Arial" w:cs="Arial"/>
                <w:sz w:val="16"/>
                <w:szCs w:val="16"/>
              </w:rPr>
            </w:pPr>
            <w:r>
              <w:rPr>
                <w:rFonts w:ascii="Arial" w:hAnsi="Arial" w:cs="Arial"/>
                <w:sz w:val="16"/>
                <w:szCs w:val="16"/>
              </w:rPr>
              <w:t>Agente alcalinizante</w:t>
            </w:r>
          </w:p>
        </w:tc>
        <w:tc>
          <w:tcPr>
            <w:tcW w:w="850" w:type="dxa"/>
          </w:tcPr>
          <w:p w:rsidR="00022DD7" w:rsidRDefault="00022DD7" w:rsidP="00E5777C">
            <w:pPr>
              <w:jc w:val="both"/>
              <w:rPr>
                <w:rFonts w:ascii="Arial" w:hAnsi="Arial" w:cs="Arial"/>
                <w:sz w:val="16"/>
                <w:szCs w:val="16"/>
              </w:rPr>
            </w:pPr>
          </w:p>
          <w:p w:rsidR="00022DD7" w:rsidRPr="00035BF7" w:rsidRDefault="00022DD7" w:rsidP="00E5777C">
            <w:pPr>
              <w:jc w:val="both"/>
              <w:rPr>
                <w:rFonts w:ascii="Arial" w:hAnsi="Arial" w:cs="Arial"/>
                <w:sz w:val="16"/>
                <w:szCs w:val="16"/>
              </w:rPr>
            </w:pPr>
            <w:r>
              <w:rPr>
                <w:rFonts w:ascii="Arial" w:hAnsi="Arial" w:cs="Arial"/>
                <w:sz w:val="16"/>
                <w:szCs w:val="16"/>
              </w:rPr>
              <w:t>Oral</w:t>
            </w:r>
          </w:p>
        </w:tc>
        <w:tc>
          <w:tcPr>
            <w:tcW w:w="2694" w:type="dxa"/>
          </w:tcPr>
          <w:p w:rsidR="00022DD7" w:rsidRDefault="00022DD7" w:rsidP="00E5777C">
            <w:pPr>
              <w:jc w:val="both"/>
              <w:rPr>
                <w:rFonts w:ascii="Arial" w:hAnsi="Arial" w:cs="Arial"/>
                <w:sz w:val="16"/>
                <w:szCs w:val="16"/>
              </w:rPr>
            </w:pPr>
          </w:p>
          <w:p w:rsidR="00022DD7" w:rsidRDefault="00022DD7" w:rsidP="00E5777C">
            <w:pPr>
              <w:jc w:val="both"/>
              <w:rPr>
                <w:rFonts w:ascii="Arial" w:hAnsi="Arial" w:cs="Arial"/>
                <w:sz w:val="16"/>
                <w:szCs w:val="16"/>
              </w:rPr>
            </w:pPr>
            <w:r>
              <w:rPr>
                <w:rFonts w:ascii="Arial" w:hAnsi="Arial" w:cs="Arial"/>
                <w:sz w:val="16"/>
                <w:szCs w:val="16"/>
              </w:rPr>
              <w:t>Frecuentes: mielosupresión</w:t>
            </w:r>
          </w:p>
          <w:p w:rsidR="00022DD7" w:rsidRDefault="00022DD7" w:rsidP="00E5777C">
            <w:pPr>
              <w:jc w:val="both"/>
              <w:rPr>
                <w:rFonts w:ascii="Arial" w:hAnsi="Arial" w:cs="Arial"/>
                <w:sz w:val="16"/>
                <w:szCs w:val="16"/>
              </w:rPr>
            </w:pPr>
          </w:p>
          <w:p w:rsidR="00022DD7" w:rsidRDefault="00022DD7" w:rsidP="00E5777C">
            <w:pPr>
              <w:jc w:val="both"/>
              <w:rPr>
                <w:rFonts w:ascii="Arial" w:hAnsi="Arial" w:cs="Arial"/>
                <w:sz w:val="16"/>
                <w:szCs w:val="16"/>
              </w:rPr>
            </w:pPr>
            <w:r>
              <w:rPr>
                <w:rFonts w:ascii="Arial" w:hAnsi="Arial" w:cs="Arial"/>
                <w:sz w:val="16"/>
                <w:szCs w:val="16"/>
              </w:rPr>
              <w:t>Ocasionales: náuseas, vómitos, diarrea, constipación, dolor de cabeza, erupción, frecuencia urinaria, aletargamiento, mucositis, alopecia, hepatotoxicidad.</w:t>
            </w:r>
          </w:p>
          <w:p w:rsidR="00022DD7" w:rsidRPr="00035BF7" w:rsidRDefault="00022DD7" w:rsidP="00E5777C">
            <w:pPr>
              <w:jc w:val="both"/>
              <w:rPr>
                <w:rFonts w:ascii="Arial" w:hAnsi="Arial" w:cs="Arial"/>
                <w:sz w:val="16"/>
                <w:szCs w:val="16"/>
              </w:rPr>
            </w:pPr>
            <w:r>
              <w:rPr>
                <w:rFonts w:ascii="Arial" w:hAnsi="Arial" w:cs="Arial"/>
                <w:sz w:val="16"/>
                <w:szCs w:val="16"/>
              </w:rPr>
              <w:t>Raros: efectos en el sistema nervioso central, cáncer secundario.</w:t>
            </w:r>
          </w:p>
        </w:tc>
        <w:tc>
          <w:tcPr>
            <w:tcW w:w="2835" w:type="dxa"/>
          </w:tcPr>
          <w:p w:rsidR="00022DD7" w:rsidRDefault="00022DD7" w:rsidP="00E5777C">
            <w:pPr>
              <w:jc w:val="both"/>
              <w:rPr>
                <w:rFonts w:ascii="Arial" w:hAnsi="Arial" w:cs="Arial"/>
                <w:sz w:val="16"/>
                <w:szCs w:val="16"/>
              </w:rPr>
            </w:pPr>
          </w:p>
          <w:p w:rsidR="00022DD7" w:rsidRPr="00035BF7" w:rsidRDefault="00022DD7" w:rsidP="00E5777C">
            <w:pPr>
              <w:jc w:val="both"/>
              <w:rPr>
                <w:rFonts w:ascii="Arial" w:hAnsi="Arial" w:cs="Arial"/>
                <w:sz w:val="16"/>
                <w:szCs w:val="16"/>
              </w:rPr>
            </w:pPr>
            <w:r>
              <w:rPr>
                <w:rFonts w:ascii="Arial" w:hAnsi="Arial" w:cs="Arial"/>
                <w:sz w:val="16"/>
                <w:szCs w:val="16"/>
              </w:rPr>
              <w:t>La dosis debe redondearse a los siguientes 5 mg</w:t>
            </w:r>
          </w:p>
        </w:tc>
        <w:tc>
          <w:tcPr>
            <w:tcW w:w="4107" w:type="dxa"/>
          </w:tcPr>
          <w:p w:rsidR="00022DD7" w:rsidRDefault="00022DD7" w:rsidP="00E5777C">
            <w:pPr>
              <w:jc w:val="both"/>
              <w:rPr>
                <w:rFonts w:ascii="Arial" w:hAnsi="Arial" w:cs="Arial"/>
                <w:sz w:val="16"/>
                <w:szCs w:val="16"/>
              </w:rPr>
            </w:pPr>
          </w:p>
          <w:p w:rsidR="00022DD7" w:rsidRDefault="00022DD7" w:rsidP="00E5777C">
            <w:pPr>
              <w:jc w:val="both"/>
              <w:rPr>
                <w:rFonts w:ascii="Arial" w:hAnsi="Arial" w:cs="Arial"/>
                <w:sz w:val="16"/>
                <w:szCs w:val="16"/>
              </w:rPr>
            </w:pPr>
            <w:r>
              <w:rPr>
                <w:rFonts w:ascii="Arial" w:hAnsi="Arial" w:cs="Arial"/>
                <w:sz w:val="16"/>
                <w:szCs w:val="16"/>
              </w:rPr>
              <w:t>Los pacientes no deben tomarla con alimentos.</w:t>
            </w:r>
          </w:p>
          <w:p w:rsidR="00022DD7" w:rsidRDefault="00022DD7" w:rsidP="00E5777C">
            <w:pPr>
              <w:jc w:val="both"/>
              <w:rPr>
                <w:rFonts w:ascii="Arial" w:hAnsi="Arial" w:cs="Arial"/>
                <w:sz w:val="16"/>
                <w:szCs w:val="16"/>
              </w:rPr>
            </w:pPr>
            <w:r>
              <w:rPr>
                <w:rFonts w:ascii="Arial" w:hAnsi="Arial" w:cs="Arial"/>
                <w:sz w:val="16"/>
                <w:szCs w:val="16"/>
              </w:rPr>
              <w:t>Premedicar con antieméticos, también sugerir que el paciente lo tome a la hora de acostarse para reducir la incidencia de náuseas y vómitos.</w:t>
            </w:r>
          </w:p>
          <w:p w:rsidR="00022DD7" w:rsidRDefault="00022DD7" w:rsidP="00E5777C">
            <w:pPr>
              <w:jc w:val="both"/>
              <w:rPr>
                <w:rFonts w:ascii="Arial" w:hAnsi="Arial" w:cs="Arial"/>
                <w:sz w:val="16"/>
                <w:szCs w:val="16"/>
              </w:rPr>
            </w:pPr>
            <w:r>
              <w:rPr>
                <w:rFonts w:ascii="Arial" w:hAnsi="Arial" w:cs="Arial"/>
                <w:sz w:val="16"/>
                <w:szCs w:val="16"/>
              </w:rPr>
              <w:t>Si es posible, los pacientes deben tragar las cápsulas enteras.</w:t>
            </w:r>
          </w:p>
          <w:p w:rsidR="00022DD7" w:rsidRDefault="00022DD7" w:rsidP="00E5777C">
            <w:pPr>
              <w:jc w:val="both"/>
              <w:rPr>
                <w:rFonts w:ascii="Arial" w:hAnsi="Arial" w:cs="Arial"/>
                <w:sz w:val="16"/>
                <w:szCs w:val="16"/>
              </w:rPr>
            </w:pPr>
            <w:r>
              <w:rPr>
                <w:rFonts w:ascii="Arial" w:hAnsi="Arial" w:cs="Arial"/>
                <w:sz w:val="16"/>
                <w:szCs w:val="16"/>
              </w:rPr>
              <w:t>Si el niño no puede tragar la cápsula, esta puede abrirse y mezclar con pequeñas cantidad de jugo de manzana o puré de manzana; el niño debe tomar  todo el jugo o puré para asegurar la dosis adecuada.</w:t>
            </w:r>
          </w:p>
          <w:p w:rsidR="00022DD7" w:rsidRPr="00035BF7" w:rsidRDefault="00022DD7" w:rsidP="00E5777C">
            <w:pPr>
              <w:jc w:val="both"/>
              <w:rPr>
                <w:rFonts w:ascii="Arial" w:hAnsi="Arial" w:cs="Arial"/>
                <w:sz w:val="16"/>
                <w:szCs w:val="16"/>
              </w:rPr>
            </w:pPr>
            <w:r>
              <w:rPr>
                <w:rFonts w:ascii="Arial" w:hAnsi="Arial" w:cs="Arial"/>
                <w:sz w:val="16"/>
                <w:szCs w:val="16"/>
              </w:rPr>
              <w:t>Instruir a los padres para que usen guates cuando manipulan o abran las cápsulas</w:t>
            </w:r>
          </w:p>
        </w:tc>
      </w:tr>
      <w:tr w:rsidR="00022DD7" w:rsidTr="00022DD7">
        <w:tc>
          <w:tcPr>
            <w:tcW w:w="1384" w:type="dxa"/>
          </w:tcPr>
          <w:p w:rsidR="00022DD7" w:rsidRDefault="00022DD7" w:rsidP="00E5777C">
            <w:pPr>
              <w:jc w:val="both"/>
              <w:rPr>
                <w:rFonts w:ascii="Arial" w:hAnsi="Arial" w:cs="Arial"/>
                <w:sz w:val="16"/>
                <w:szCs w:val="16"/>
              </w:rPr>
            </w:pPr>
          </w:p>
          <w:p w:rsidR="00022DD7" w:rsidRDefault="00022DD7" w:rsidP="00E5777C">
            <w:pPr>
              <w:jc w:val="both"/>
              <w:rPr>
                <w:rFonts w:ascii="Arial" w:hAnsi="Arial" w:cs="Arial"/>
                <w:sz w:val="16"/>
                <w:szCs w:val="16"/>
              </w:rPr>
            </w:pPr>
            <w:r>
              <w:rPr>
                <w:rFonts w:ascii="Arial" w:hAnsi="Arial" w:cs="Arial"/>
                <w:sz w:val="16"/>
                <w:szCs w:val="16"/>
              </w:rPr>
              <w:t xml:space="preserve">Tenipósido </w:t>
            </w:r>
          </w:p>
          <w:p w:rsidR="00022DD7" w:rsidRPr="00035BF7" w:rsidRDefault="00022DD7" w:rsidP="00E5777C">
            <w:pPr>
              <w:jc w:val="both"/>
              <w:rPr>
                <w:rFonts w:ascii="Arial" w:hAnsi="Arial" w:cs="Arial"/>
                <w:sz w:val="16"/>
                <w:szCs w:val="16"/>
              </w:rPr>
            </w:pPr>
            <w:r>
              <w:rPr>
                <w:rFonts w:ascii="Arial" w:hAnsi="Arial" w:cs="Arial"/>
                <w:sz w:val="16"/>
                <w:szCs w:val="16"/>
              </w:rPr>
              <w:t>(Vumón)</w:t>
            </w:r>
          </w:p>
        </w:tc>
        <w:tc>
          <w:tcPr>
            <w:tcW w:w="1339" w:type="dxa"/>
          </w:tcPr>
          <w:p w:rsidR="00022DD7" w:rsidRDefault="00022DD7" w:rsidP="00E5777C">
            <w:pPr>
              <w:jc w:val="both"/>
              <w:rPr>
                <w:rFonts w:ascii="Arial" w:hAnsi="Arial" w:cs="Arial"/>
                <w:sz w:val="16"/>
                <w:szCs w:val="16"/>
              </w:rPr>
            </w:pPr>
          </w:p>
          <w:p w:rsidR="00022DD7" w:rsidRPr="00035BF7" w:rsidRDefault="00022DD7" w:rsidP="00E5777C">
            <w:pPr>
              <w:jc w:val="both"/>
              <w:rPr>
                <w:rFonts w:ascii="Arial" w:hAnsi="Arial" w:cs="Arial"/>
                <w:sz w:val="16"/>
                <w:szCs w:val="16"/>
              </w:rPr>
            </w:pPr>
            <w:r>
              <w:rPr>
                <w:rFonts w:ascii="Arial" w:hAnsi="Arial" w:cs="Arial"/>
                <w:sz w:val="16"/>
                <w:szCs w:val="16"/>
              </w:rPr>
              <w:t>Derivado vegetal</w:t>
            </w:r>
          </w:p>
        </w:tc>
        <w:tc>
          <w:tcPr>
            <w:tcW w:w="850" w:type="dxa"/>
          </w:tcPr>
          <w:p w:rsidR="00022DD7" w:rsidRDefault="00022DD7" w:rsidP="00E5777C">
            <w:pPr>
              <w:jc w:val="both"/>
              <w:rPr>
                <w:rFonts w:ascii="Arial" w:hAnsi="Arial" w:cs="Arial"/>
                <w:sz w:val="16"/>
                <w:szCs w:val="16"/>
              </w:rPr>
            </w:pPr>
          </w:p>
          <w:p w:rsidR="00022DD7" w:rsidRPr="00035BF7" w:rsidRDefault="00022DD7" w:rsidP="00E5777C">
            <w:pPr>
              <w:jc w:val="both"/>
              <w:rPr>
                <w:rFonts w:ascii="Arial" w:hAnsi="Arial" w:cs="Arial"/>
                <w:sz w:val="16"/>
                <w:szCs w:val="16"/>
              </w:rPr>
            </w:pPr>
            <w:r>
              <w:rPr>
                <w:rFonts w:ascii="Arial" w:hAnsi="Arial" w:cs="Arial"/>
                <w:sz w:val="16"/>
                <w:szCs w:val="16"/>
              </w:rPr>
              <w:t>IV</w:t>
            </w:r>
          </w:p>
        </w:tc>
        <w:tc>
          <w:tcPr>
            <w:tcW w:w="2694" w:type="dxa"/>
          </w:tcPr>
          <w:p w:rsidR="00022DD7" w:rsidRDefault="00022DD7" w:rsidP="00E5777C">
            <w:pPr>
              <w:jc w:val="both"/>
              <w:rPr>
                <w:rFonts w:ascii="Arial" w:hAnsi="Arial" w:cs="Arial"/>
                <w:sz w:val="16"/>
                <w:szCs w:val="16"/>
              </w:rPr>
            </w:pPr>
          </w:p>
          <w:p w:rsidR="00022DD7" w:rsidRDefault="00022DD7" w:rsidP="00E5777C">
            <w:pPr>
              <w:jc w:val="both"/>
              <w:rPr>
                <w:rFonts w:ascii="Arial" w:hAnsi="Arial" w:cs="Arial"/>
                <w:sz w:val="16"/>
                <w:szCs w:val="16"/>
              </w:rPr>
            </w:pPr>
            <w:r>
              <w:rPr>
                <w:rFonts w:ascii="Arial" w:hAnsi="Arial" w:cs="Arial"/>
                <w:sz w:val="16"/>
                <w:szCs w:val="16"/>
              </w:rPr>
              <w:t>Frecuentes: náuseas, vómitos, mielosupresión</w:t>
            </w:r>
          </w:p>
          <w:p w:rsidR="00022DD7" w:rsidRDefault="00022DD7" w:rsidP="00E5777C">
            <w:pPr>
              <w:jc w:val="both"/>
              <w:rPr>
                <w:rFonts w:ascii="Arial" w:hAnsi="Arial" w:cs="Arial"/>
                <w:sz w:val="16"/>
                <w:szCs w:val="16"/>
              </w:rPr>
            </w:pPr>
          </w:p>
          <w:p w:rsidR="00022DD7" w:rsidRDefault="00022DD7" w:rsidP="00E5777C">
            <w:pPr>
              <w:jc w:val="both"/>
              <w:rPr>
                <w:rFonts w:ascii="Arial" w:hAnsi="Arial" w:cs="Arial"/>
                <w:sz w:val="16"/>
                <w:szCs w:val="16"/>
              </w:rPr>
            </w:pPr>
            <w:r>
              <w:rPr>
                <w:rFonts w:ascii="Arial" w:hAnsi="Arial" w:cs="Arial"/>
                <w:sz w:val="16"/>
                <w:szCs w:val="16"/>
              </w:rPr>
              <w:t>Ocasionales: alopecia, aumento de los efectos secundarios de la radiación, diarrea</w:t>
            </w:r>
          </w:p>
          <w:p w:rsidR="00022DD7" w:rsidRDefault="00022DD7" w:rsidP="00E5777C">
            <w:pPr>
              <w:jc w:val="both"/>
              <w:rPr>
                <w:rFonts w:ascii="Arial" w:hAnsi="Arial" w:cs="Arial"/>
                <w:sz w:val="16"/>
                <w:szCs w:val="16"/>
              </w:rPr>
            </w:pPr>
          </w:p>
          <w:p w:rsidR="00022DD7" w:rsidRPr="00035BF7" w:rsidRDefault="00022DD7" w:rsidP="00E5777C">
            <w:pPr>
              <w:jc w:val="both"/>
              <w:rPr>
                <w:rFonts w:ascii="Arial" w:hAnsi="Arial" w:cs="Arial"/>
                <w:sz w:val="16"/>
                <w:szCs w:val="16"/>
              </w:rPr>
            </w:pPr>
            <w:r>
              <w:rPr>
                <w:rFonts w:ascii="Arial" w:hAnsi="Arial" w:cs="Arial"/>
                <w:sz w:val="16"/>
                <w:szCs w:val="16"/>
              </w:rPr>
              <w:t>Raros: hipotensión, anafilaxis, erupción, neuropatía periférica, estomatitis, cáncer secundario</w:t>
            </w:r>
          </w:p>
        </w:tc>
        <w:tc>
          <w:tcPr>
            <w:tcW w:w="2835" w:type="dxa"/>
          </w:tcPr>
          <w:p w:rsidR="00022DD7" w:rsidRDefault="00022DD7" w:rsidP="00E5777C">
            <w:pPr>
              <w:jc w:val="both"/>
              <w:rPr>
                <w:rFonts w:ascii="Arial" w:hAnsi="Arial" w:cs="Arial"/>
                <w:sz w:val="16"/>
                <w:szCs w:val="16"/>
              </w:rPr>
            </w:pPr>
          </w:p>
          <w:p w:rsidR="00022DD7" w:rsidRDefault="00022DD7" w:rsidP="00E5777C">
            <w:pPr>
              <w:jc w:val="both"/>
              <w:rPr>
                <w:rFonts w:ascii="Arial" w:hAnsi="Arial" w:cs="Arial"/>
                <w:sz w:val="16"/>
                <w:szCs w:val="16"/>
              </w:rPr>
            </w:pPr>
            <w:r>
              <w:rPr>
                <w:rFonts w:ascii="Arial" w:hAnsi="Arial" w:cs="Arial"/>
                <w:sz w:val="16"/>
                <w:szCs w:val="16"/>
              </w:rPr>
              <w:t>No usar bolsas ni mangueras que contengan PVC para administrarlo</w:t>
            </w:r>
          </w:p>
          <w:p w:rsidR="00022DD7" w:rsidRDefault="00022DD7" w:rsidP="00E5777C">
            <w:pPr>
              <w:jc w:val="both"/>
              <w:rPr>
                <w:rFonts w:ascii="Arial" w:hAnsi="Arial" w:cs="Arial"/>
                <w:sz w:val="16"/>
                <w:szCs w:val="16"/>
              </w:rPr>
            </w:pPr>
            <w:r>
              <w:rPr>
                <w:rFonts w:ascii="Arial" w:hAnsi="Arial" w:cs="Arial"/>
                <w:sz w:val="16"/>
                <w:szCs w:val="16"/>
              </w:rPr>
              <w:t>No refrigerar las soluciones diluidas.</w:t>
            </w:r>
          </w:p>
          <w:p w:rsidR="00022DD7" w:rsidRDefault="00022DD7" w:rsidP="00E5777C">
            <w:pPr>
              <w:jc w:val="both"/>
              <w:rPr>
                <w:rFonts w:ascii="Arial" w:hAnsi="Arial" w:cs="Arial"/>
                <w:sz w:val="16"/>
                <w:szCs w:val="16"/>
              </w:rPr>
            </w:pPr>
            <w:r>
              <w:rPr>
                <w:rFonts w:ascii="Arial" w:hAnsi="Arial" w:cs="Arial"/>
                <w:sz w:val="16"/>
                <w:szCs w:val="16"/>
              </w:rPr>
              <w:t>La heparina puede precipitar VM-26, debe purgarse de las líneas.</w:t>
            </w:r>
          </w:p>
          <w:p w:rsidR="00022DD7" w:rsidRPr="00035BF7" w:rsidRDefault="00022DD7" w:rsidP="00E5777C">
            <w:pPr>
              <w:jc w:val="both"/>
              <w:rPr>
                <w:rFonts w:ascii="Arial" w:hAnsi="Arial" w:cs="Arial"/>
                <w:sz w:val="16"/>
                <w:szCs w:val="16"/>
              </w:rPr>
            </w:pPr>
            <w:r>
              <w:rPr>
                <w:rFonts w:ascii="Arial" w:hAnsi="Arial" w:cs="Arial"/>
                <w:sz w:val="16"/>
                <w:szCs w:val="16"/>
              </w:rPr>
              <w:t>Reacciones anafilácticas o de hipotensión con infusiones rápidas.</w:t>
            </w:r>
          </w:p>
        </w:tc>
        <w:tc>
          <w:tcPr>
            <w:tcW w:w="4107" w:type="dxa"/>
          </w:tcPr>
          <w:p w:rsidR="00022DD7" w:rsidRDefault="00022DD7" w:rsidP="00E5777C">
            <w:pPr>
              <w:jc w:val="both"/>
              <w:rPr>
                <w:rFonts w:ascii="Arial" w:hAnsi="Arial" w:cs="Arial"/>
                <w:sz w:val="16"/>
                <w:szCs w:val="16"/>
              </w:rPr>
            </w:pPr>
          </w:p>
          <w:p w:rsidR="00022DD7" w:rsidRPr="00035BF7" w:rsidRDefault="00022DD7" w:rsidP="00E5777C">
            <w:pPr>
              <w:jc w:val="both"/>
              <w:rPr>
                <w:rFonts w:ascii="Arial" w:hAnsi="Arial" w:cs="Arial"/>
                <w:sz w:val="16"/>
                <w:szCs w:val="16"/>
              </w:rPr>
            </w:pPr>
            <w:r>
              <w:rPr>
                <w:rFonts w:ascii="Arial" w:hAnsi="Arial" w:cs="Arial"/>
                <w:sz w:val="16"/>
                <w:szCs w:val="16"/>
              </w:rPr>
              <w:t>Irritantes: evitar la extravasación.</w:t>
            </w:r>
          </w:p>
        </w:tc>
      </w:tr>
      <w:tr w:rsidR="00022DD7" w:rsidTr="00022DD7">
        <w:tc>
          <w:tcPr>
            <w:tcW w:w="1384" w:type="dxa"/>
          </w:tcPr>
          <w:p w:rsidR="00022DD7" w:rsidRDefault="00022DD7" w:rsidP="00DD4DE9">
            <w:pPr>
              <w:jc w:val="both"/>
              <w:rPr>
                <w:rFonts w:ascii="Arial" w:hAnsi="Arial" w:cs="Arial"/>
                <w:sz w:val="16"/>
                <w:szCs w:val="16"/>
              </w:rPr>
            </w:pPr>
          </w:p>
          <w:p w:rsidR="00022DD7" w:rsidRPr="00022DD7" w:rsidRDefault="00022DD7" w:rsidP="00DD4DE9">
            <w:pPr>
              <w:jc w:val="both"/>
              <w:rPr>
                <w:rFonts w:ascii="Arial" w:hAnsi="Arial" w:cs="Arial"/>
                <w:sz w:val="16"/>
                <w:szCs w:val="16"/>
              </w:rPr>
            </w:pPr>
            <w:r>
              <w:rPr>
                <w:rFonts w:ascii="Arial" w:hAnsi="Arial" w:cs="Arial"/>
                <w:sz w:val="16"/>
                <w:szCs w:val="16"/>
              </w:rPr>
              <w:t>Talidomida (Thalomid)</w:t>
            </w:r>
          </w:p>
        </w:tc>
        <w:tc>
          <w:tcPr>
            <w:tcW w:w="1339" w:type="dxa"/>
          </w:tcPr>
          <w:p w:rsidR="00022DD7" w:rsidRDefault="00022DD7" w:rsidP="00DD4DE9">
            <w:pPr>
              <w:jc w:val="both"/>
              <w:rPr>
                <w:rFonts w:ascii="Arial" w:hAnsi="Arial" w:cs="Arial"/>
                <w:sz w:val="16"/>
                <w:szCs w:val="16"/>
              </w:rPr>
            </w:pPr>
          </w:p>
          <w:p w:rsidR="00022DD7" w:rsidRPr="00022DD7" w:rsidRDefault="00022DD7" w:rsidP="00DD4DE9">
            <w:pPr>
              <w:jc w:val="both"/>
              <w:rPr>
                <w:rFonts w:ascii="Arial" w:hAnsi="Arial" w:cs="Arial"/>
                <w:sz w:val="16"/>
                <w:szCs w:val="16"/>
              </w:rPr>
            </w:pPr>
            <w:r>
              <w:rPr>
                <w:rFonts w:ascii="Arial" w:hAnsi="Arial" w:cs="Arial"/>
                <w:sz w:val="16"/>
                <w:szCs w:val="16"/>
              </w:rPr>
              <w:t>Inhibidor de la angiogénesis</w:t>
            </w:r>
          </w:p>
        </w:tc>
        <w:tc>
          <w:tcPr>
            <w:tcW w:w="850" w:type="dxa"/>
          </w:tcPr>
          <w:p w:rsidR="00022DD7" w:rsidRDefault="00022DD7" w:rsidP="00DD4DE9">
            <w:pPr>
              <w:jc w:val="both"/>
              <w:rPr>
                <w:rFonts w:ascii="Arial" w:hAnsi="Arial" w:cs="Arial"/>
                <w:sz w:val="16"/>
                <w:szCs w:val="16"/>
              </w:rPr>
            </w:pPr>
          </w:p>
          <w:p w:rsidR="00022DD7" w:rsidRPr="00022DD7" w:rsidRDefault="00022DD7" w:rsidP="00DD4DE9">
            <w:pPr>
              <w:jc w:val="both"/>
              <w:rPr>
                <w:rFonts w:ascii="Arial" w:hAnsi="Arial" w:cs="Arial"/>
                <w:sz w:val="16"/>
                <w:szCs w:val="16"/>
              </w:rPr>
            </w:pPr>
            <w:r>
              <w:rPr>
                <w:rFonts w:ascii="Arial" w:hAnsi="Arial" w:cs="Arial"/>
                <w:sz w:val="16"/>
                <w:szCs w:val="16"/>
              </w:rPr>
              <w:t>Oral</w:t>
            </w:r>
          </w:p>
        </w:tc>
        <w:tc>
          <w:tcPr>
            <w:tcW w:w="2694" w:type="dxa"/>
          </w:tcPr>
          <w:p w:rsidR="00022DD7" w:rsidRDefault="00022DD7" w:rsidP="00DD4DE9">
            <w:pPr>
              <w:jc w:val="both"/>
              <w:rPr>
                <w:rFonts w:ascii="Arial" w:hAnsi="Arial" w:cs="Arial"/>
                <w:sz w:val="16"/>
                <w:szCs w:val="16"/>
              </w:rPr>
            </w:pPr>
          </w:p>
          <w:p w:rsidR="00022DD7" w:rsidRPr="00022DD7" w:rsidRDefault="00022DD7" w:rsidP="00DD4DE9">
            <w:pPr>
              <w:jc w:val="both"/>
              <w:rPr>
                <w:rFonts w:ascii="Arial" w:hAnsi="Arial" w:cs="Arial"/>
                <w:sz w:val="16"/>
                <w:szCs w:val="16"/>
              </w:rPr>
            </w:pPr>
            <w:r>
              <w:rPr>
                <w:rFonts w:ascii="Arial" w:hAnsi="Arial" w:cs="Arial"/>
                <w:sz w:val="16"/>
                <w:szCs w:val="16"/>
              </w:rPr>
              <w:t>Defectos congénitos</w:t>
            </w:r>
          </w:p>
        </w:tc>
        <w:tc>
          <w:tcPr>
            <w:tcW w:w="2835" w:type="dxa"/>
          </w:tcPr>
          <w:p w:rsidR="00022DD7" w:rsidRDefault="00022DD7" w:rsidP="00DD4DE9">
            <w:pPr>
              <w:jc w:val="both"/>
              <w:rPr>
                <w:rFonts w:ascii="Arial" w:hAnsi="Arial" w:cs="Arial"/>
                <w:sz w:val="16"/>
                <w:szCs w:val="16"/>
              </w:rPr>
            </w:pPr>
          </w:p>
          <w:p w:rsidR="00022DD7" w:rsidRPr="00022DD7" w:rsidRDefault="00022DD7" w:rsidP="00DD4DE9">
            <w:pPr>
              <w:jc w:val="both"/>
              <w:rPr>
                <w:rFonts w:ascii="Arial" w:hAnsi="Arial" w:cs="Arial"/>
                <w:sz w:val="16"/>
                <w:szCs w:val="16"/>
              </w:rPr>
            </w:pPr>
            <w:r>
              <w:rPr>
                <w:rFonts w:ascii="Arial" w:hAnsi="Arial" w:cs="Arial"/>
                <w:sz w:val="16"/>
                <w:szCs w:val="16"/>
              </w:rPr>
              <w:t>Es necesario realizar pruebas de embarazo rutinarias en las mujeres en edad fértil.</w:t>
            </w:r>
          </w:p>
        </w:tc>
        <w:tc>
          <w:tcPr>
            <w:tcW w:w="4107" w:type="dxa"/>
          </w:tcPr>
          <w:p w:rsidR="00022DD7" w:rsidRDefault="00022DD7" w:rsidP="00DD4DE9">
            <w:pPr>
              <w:jc w:val="both"/>
              <w:rPr>
                <w:rFonts w:ascii="Arial" w:hAnsi="Arial" w:cs="Arial"/>
                <w:sz w:val="16"/>
                <w:szCs w:val="16"/>
              </w:rPr>
            </w:pPr>
          </w:p>
          <w:p w:rsidR="00022DD7" w:rsidRDefault="00022DD7" w:rsidP="00DD4DE9">
            <w:pPr>
              <w:jc w:val="both"/>
              <w:rPr>
                <w:rFonts w:ascii="Arial" w:hAnsi="Arial" w:cs="Arial"/>
                <w:sz w:val="16"/>
                <w:szCs w:val="16"/>
              </w:rPr>
            </w:pPr>
            <w:r>
              <w:rPr>
                <w:rFonts w:ascii="Arial" w:hAnsi="Arial" w:cs="Arial"/>
                <w:sz w:val="16"/>
                <w:szCs w:val="16"/>
              </w:rPr>
              <w:t>Manipular los comprimidos con guantes.</w:t>
            </w:r>
          </w:p>
          <w:p w:rsidR="00022DD7" w:rsidRDefault="00022DD7" w:rsidP="00DD4DE9">
            <w:pPr>
              <w:jc w:val="both"/>
              <w:rPr>
                <w:rFonts w:ascii="Arial" w:hAnsi="Arial" w:cs="Arial"/>
                <w:sz w:val="16"/>
                <w:szCs w:val="16"/>
              </w:rPr>
            </w:pPr>
            <w:r>
              <w:rPr>
                <w:rFonts w:ascii="Arial" w:hAnsi="Arial" w:cs="Arial"/>
                <w:sz w:val="16"/>
                <w:szCs w:val="16"/>
              </w:rPr>
              <w:t>El proveedor de atención médica que emita la receta debe estar registrado ante la empresa antes de ordenar el fármaco.</w:t>
            </w:r>
          </w:p>
          <w:p w:rsidR="00F8348E" w:rsidRPr="00022DD7" w:rsidRDefault="00F8348E" w:rsidP="00DD4DE9">
            <w:pPr>
              <w:jc w:val="both"/>
              <w:rPr>
                <w:rFonts w:ascii="Arial" w:hAnsi="Arial" w:cs="Arial"/>
                <w:sz w:val="16"/>
                <w:szCs w:val="16"/>
              </w:rPr>
            </w:pPr>
          </w:p>
        </w:tc>
      </w:tr>
    </w:tbl>
    <w:p w:rsidR="00BB0B40" w:rsidRPr="00EE32DA" w:rsidRDefault="00BB0B40" w:rsidP="00DD4DE9">
      <w:pPr>
        <w:jc w:val="both"/>
        <w:rPr>
          <w:rFonts w:ascii="Arial" w:hAnsi="Arial" w:cs="Arial"/>
          <w:sz w:val="24"/>
          <w:szCs w:val="24"/>
        </w:rPr>
      </w:pPr>
    </w:p>
    <w:p w:rsidR="00B86E28" w:rsidRDefault="00B86E28" w:rsidP="00B86E28">
      <w:pPr>
        <w:jc w:val="both"/>
        <w:rPr>
          <w:rFonts w:ascii="Arial" w:hAnsi="Arial" w:cs="Arial"/>
          <w:sz w:val="24"/>
          <w:szCs w:val="24"/>
        </w:rPr>
      </w:pPr>
    </w:p>
    <w:p w:rsidR="00022DD7" w:rsidRDefault="00022DD7" w:rsidP="00B86E28">
      <w:pPr>
        <w:jc w:val="both"/>
        <w:rPr>
          <w:rFonts w:ascii="Arial" w:hAnsi="Arial" w:cs="Arial"/>
          <w:sz w:val="24"/>
          <w:szCs w:val="24"/>
        </w:rPr>
      </w:pPr>
    </w:p>
    <w:p w:rsidR="00022DD7" w:rsidRDefault="00022DD7" w:rsidP="00B86E28">
      <w:pPr>
        <w:jc w:val="both"/>
        <w:rPr>
          <w:rFonts w:ascii="Arial" w:hAnsi="Arial" w:cs="Arial"/>
          <w:sz w:val="24"/>
          <w:szCs w:val="24"/>
        </w:rPr>
      </w:pPr>
    </w:p>
    <w:p w:rsidR="00D9692D" w:rsidRDefault="00D9692D" w:rsidP="00D9692D">
      <w:pPr>
        <w:jc w:val="both"/>
        <w:rPr>
          <w:rFonts w:ascii="Arial" w:hAnsi="Arial" w:cs="Arial"/>
          <w:sz w:val="24"/>
          <w:szCs w:val="24"/>
        </w:rPr>
      </w:pPr>
      <w:r w:rsidRPr="00EE32DA">
        <w:rPr>
          <w:rFonts w:ascii="Arial" w:hAnsi="Arial" w:cs="Arial"/>
          <w:sz w:val="24"/>
          <w:szCs w:val="24"/>
        </w:rPr>
        <w:lastRenderedPageBreak/>
        <w:t>Tabla 1 Agentes quimioterapéuticos</w:t>
      </w:r>
    </w:p>
    <w:p w:rsidR="00B86E28" w:rsidRDefault="00B86E28" w:rsidP="00B86E28">
      <w:pPr>
        <w:jc w:val="both"/>
        <w:rPr>
          <w:rFonts w:ascii="Arial" w:hAnsi="Arial" w:cs="Arial"/>
          <w:sz w:val="24"/>
          <w:szCs w:val="24"/>
        </w:rPr>
      </w:pPr>
    </w:p>
    <w:tbl>
      <w:tblPr>
        <w:tblStyle w:val="Tablaconcuadrcula"/>
        <w:tblW w:w="0" w:type="auto"/>
        <w:tblLayout w:type="fixed"/>
        <w:tblLook w:val="04A0" w:firstRow="1" w:lastRow="0" w:firstColumn="1" w:lastColumn="0" w:noHBand="0" w:noVBand="1"/>
      </w:tblPr>
      <w:tblGrid>
        <w:gridCol w:w="1242"/>
        <w:gridCol w:w="1418"/>
        <w:gridCol w:w="992"/>
        <w:gridCol w:w="2693"/>
        <w:gridCol w:w="2694"/>
        <w:gridCol w:w="4110"/>
      </w:tblGrid>
      <w:tr w:rsidR="00B86E28" w:rsidTr="004D5DB3">
        <w:tc>
          <w:tcPr>
            <w:tcW w:w="1242" w:type="dxa"/>
          </w:tcPr>
          <w:p w:rsidR="00B86E28" w:rsidRDefault="00B86E28" w:rsidP="00864D49">
            <w:pPr>
              <w:jc w:val="both"/>
              <w:rPr>
                <w:rFonts w:ascii="Arial" w:hAnsi="Arial" w:cs="Arial"/>
                <w:sz w:val="20"/>
                <w:szCs w:val="20"/>
              </w:rPr>
            </w:pPr>
            <w:r w:rsidRPr="0028732A">
              <w:rPr>
                <w:rFonts w:ascii="Arial" w:hAnsi="Arial" w:cs="Arial"/>
                <w:sz w:val="20"/>
                <w:szCs w:val="20"/>
              </w:rPr>
              <w:t>Fármaco</w:t>
            </w:r>
          </w:p>
          <w:p w:rsidR="00B86E28" w:rsidRDefault="00B86E28" w:rsidP="00864D49">
            <w:pPr>
              <w:jc w:val="both"/>
              <w:rPr>
                <w:rFonts w:ascii="Arial" w:hAnsi="Arial" w:cs="Arial"/>
                <w:sz w:val="20"/>
                <w:szCs w:val="20"/>
              </w:rPr>
            </w:pPr>
          </w:p>
          <w:p w:rsidR="00B86E28" w:rsidRPr="0028732A" w:rsidRDefault="00B86E28" w:rsidP="00864D49">
            <w:pPr>
              <w:jc w:val="both"/>
              <w:rPr>
                <w:rFonts w:ascii="Arial" w:hAnsi="Arial" w:cs="Arial"/>
                <w:sz w:val="20"/>
                <w:szCs w:val="20"/>
              </w:rPr>
            </w:pPr>
          </w:p>
        </w:tc>
        <w:tc>
          <w:tcPr>
            <w:tcW w:w="1418" w:type="dxa"/>
          </w:tcPr>
          <w:p w:rsidR="00B86E28" w:rsidRPr="0028732A" w:rsidRDefault="00B86E28" w:rsidP="00864D49">
            <w:pPr>
              <w:jc w:val="both"/>
              <w:rPr>
                <w:rFonts w:ascii="Arial" w:hAnsi="Arial" w:cs="Arial"/>
                <w:sz w:val="20"/>
                <w:szCs w:val="20"/>
              </w:rPr>
            </w:pPr>
            <w:r w:rsidRPr="0028732A">
              <w:rPr>
                <w:rFonts w:ascii="Arial" w:hAnsi="Arial" w:cs="Arial"/>
                <w:sz w:val="20"/>
                <w:szCs w:val="20"/>
              </w:rPr>
              <w:t xml:space="preserve">Clasificación </w:t>
            </w:r>
          </w:p>
        </w:tc>
        <w:tc>
          <w:tcPr>
            <w:tcW w:w="992" w:type="dxa"/>
          </w:tcPr>
          <w:p w:rsidR="00B86E28" w:rsidRPr="0028732A" w:rsidRDefault="00B86E28" w:rsidP="00864D49">
            <w:pPr>
              <w:jc w:val="both"/>
              <w:rPr>
                <w:rFonts w:ascii="Arial" w:hAnsi="Arial" w:cs="Arial"/>
                <w:sz w:val="20"/>
                <w:szCs w:val="20"/>
              </w:rPr>
            </w:pPr>
            <w:r w:rsidRPr="0028732A">
              <w:rPr>
                <w:rFonts w:ascii="Arial" w:hAnsi="Arial" w:cs="Arial"/>
                <w:sz w:val="20"/>
                <w:szCs w:val="20"/>
              </w:rPr>
              <w:t xml:space="preserve">Vía de </w:t>
            </w:r>
            <w:r>
              <w:rPr>
                <w:rFonts w:ascii="Arial" w:hAnsi="Arial" w:cs="Arial"/>
                <w:sz w:val="20"/>
                <w:szCs w:val="20"/>
              </w:rPr>
              <w:t>adm.</w:t>
            </w:r>
            <w:r w:rsidRPr="0028732A">
              <w:rPr>
                <w:rFonts w:ascii="Arial" w:hAnsi="Arial" w:cs="Arial"/>
                <w:sz w:val="20"/>
                <w:szCs w:val="20"/>
              </w:rPr>
              <w:t xml:space="preserve"> </w:t>
            </w:r>
          </w:p>
        </w:tc>
        <w:tc>
          <w:tcPr>
            <w:tcW w:w="2693" w:type="dxa"/>
          </w:tcPr>
          <w:p w:rsidR="00B86E28" w:rsidRPr="0028732A" w:rsidRDefault="00B86E28" w:rsidP="00864D49">
            <w:pPr>
              <w:jc w:val="both"/>
              <w:rPr>
                <w:rFonts w:ascii="Arial" w:hAnsi="Arial" w:cs="Arial"/>
                <w:sz w:val="20"/>
                <w:szCs w:val="20"/>
              </w:rPr>
            </w:pPr>
            <w:r w:rsidRPr="0028732A">
              <w:rPr>
                <w:rFonts w:ascii="Arial" w:hAnsi="Arial" w:cs="Arial"/>
                <w:sz w:val="20"/>
                <w:szCs w:val="20"/>
              </w:rPr>
              <w:t>Efectos secundarios</w:t>
            </w:r>
          </w:p>
        </w:tc>
        <w:tc>
          <w:tcPr>
            <w:tcW w:w="2694" w:type="dxa"/>
          </w:tcPr>
          <w:p w:rsidR="00B86E28" w:rsidRPr="0028732A" w:rsidRDefault="00B86E28" w:rsidP="00864D49">
            <w:pPr>
              <w:jc w:val="both"/>
              <w:rPr>
                <w:rFonts w:ascii="Arial" w:hAnsi="Arial" w:cs="Arial"/>
                <w:sz w:val="20"/>
                <w:szCs w:val="20"/>
              </w:rPr>
            </w:pPr>
            <w:r w:rsidRPr="0028732A">
              <w:rPr>
                <w:rFonts w:ascii="Arial" w:hAnsi="Arial" w:cs="Arial"/>
                <w:sz w:val="20"/>
                <w:szCs w:val="20"/>
              </w:rPr>
              <w:t>Consideraciones especiales</w:t>
            </w:r>
          </w:p>
        </w:tc>
        <w:tc>
          <w:tcPr>
            <w:tcW w:w="4110" w:type="dxa"/>
          </w:tcPr>
          <w:p w:rsidR="00B86E28" w:rsidRPr="0028732A" w:rsidRDefault="00B86E28" w:rsidP="00864D49">
            <w:pPr>
              <w:jc w:val="both"/>
              <w:rPr>
                <w:rFonts w:ascii="Arial" w:hAnsi="Arial" w:cs="Arial"/>
                <w:sz w:val="20"/>
                <w:szCs w:val="20"/>
              </w:rPr>
            </w:pPr>
            <w:r w:rsidRPr="0028732A">
              <w:rPr>
                <w:rFonts w:ascii="Arial" w:hAnsi="Arial" w:cs="Arial"/>
                <w:sz w:val="20"/>
                <w:szCs w:val="20"/>
              </w:rPr>
              <w:t>Acciones de enfermería</w:t>
            </w:r>
          </w:p>
        </w:tc>
      </w:tr>
      <w:tr w:rsidR="00B86E28" w:rsidTr="004D5DB3">
        <w:tc>
          <w:tcPr>
            <w:tcW w:w="1242" w:type="dxa"/>
          </w:tcPr>
          <w:p w:rsidR="00DD4DE9" w:rsidRDefault="00DD4DE9" w:rsidP="00864D49">
            <w:pPr>
              <w:jc w:val="both"/>
              <w:rPr>
                <w:rFonts w:ascii="Arial" w:hAnsi="Arial" w:cs="Arial"/>
                <w:sz w:val="16"/>
                <w:szCs w:val="16"/>
              </w:rPr>
            </w:pPr>
          </w:p>
          <w:p w:rsidR="00022DD7" w:rsidRPr="00035BF7" w:rsidRDefault="00022DD7" w:rsidP="00864D49">
            <w:pPr>
              <w:jc w:val="both"/>
              <w:rPr>
                <w:rFonts w:ascii="Arial" w:hAnsi="Arial" w:cs="Arial"/>
                <w:sz w:val="16"/>
                <w:szCs w:val="16"/>
              </w:rPr>
            </w:pPr>
            <w:r>
              <w:rPr>
                <w:rFonts w:ascii="Arial" w:hAnsi="Arial" w:cs="Arial"/>
                <w:sz w:val="16"/>
                <w:szCs w:val="16"/>
              </w:rPr>
              <w:t>Tioguanina (Tabloid, Lanvis)</w:t>
            </w:r>
          </w:p>
        </w:tc>
        <w:tc>
          <w:tcPr>
            <w:tcW w:w="1418" w:type="dxa"/>
          </w:tcPr>
          <w:p w:rsidR="00DD4DE9" w:rsidRDefault="00DD4DE9" w:rsidP="00864D49">
            <w:pPr>
              <w:jc w:val="both"/>
              <w:rPr>
                <w:rFonts w:ascii="Arial" w:hAnsi="Arial" w:cs="Arial"/>
                <w:sz w:val="16"/>
                <w:szCs w:val="16"/>
              </w:rPr>
            </w:pPr>
          </w:p>
          <w:p w:rsidR="00022DD7" w:rsidRPr="00035BF7" w:rsidRDefault="00D9692D" w:rsidP="00864D49">
            <w:pPr>
              <w:jc w:val="both"/>
              <w:rPr>
                <w:rFonts w:ascii="Arial" w:hAnsi="Arial" w:cs="Arial"/>
                <w:sz w:val="16"/>
                <w:szCs w:val="16"/>
              </w:rPr>
            </w:pPr>
            <w:r>
              <w:rPr>
                <w:rFonts w:ascii="Arial" w:hAnsi="Arial" w:cs="Arial"/>
                <w:sz w:val="16"/>
                <w:szCs w:val="16"/>
              </w:rPr>
              <w:t>Antimetabolito</w:t>
            </w:r>
          </w:p>
        </w:tc>
        <w:tc>
          <w:tcPr>
            <w:tcW w:w="992" w:type="dxa"/>
          </w:tcPr>
          <w:p w:rsidR="00DD4DE9" w:rsidRDefault="00DD4DE9" w:rsidP="00864D49">
            <w:pPr>
              <w:jc w:val="both"/>
              <w:rPr>
                <w:rFonts w:ascii="Arial" w:hAnsi="Arial" w:cs="Arial"/>
                <w:sz w:val="16"/>
                <w:szCs w:val="16"/>
              </w:rPr>
            </w:pPr>
          </w:p>
          <w:p w:rsidR="00D9692D" w:rsidRPr="00035BF7" w:rsidRDefault="00D9692D" w:rsidP="00864D49">
            <w:pPr>
              <w:jc w:val="both"/>
              <w:rPr>
                <w:rFonts w:ascii="Arial" w:hAnsi="Arial" w:cs="Arial"/>
                <w:sz w:val="16"/>
                <w:szCs w:val="16"/>
              </w:rPr>
            </w:pPr>
            <w:r>
              <w:rPr>
                <w:rFonts w:ascii="Arial" w:hAnsi="Arial" w:cs="Arial"/>
                <w:sz w:val="16"/>
                <w:szCs w:val="16"/>
              </w:rPr>
              <w:t>Oral</w:t>
            </w:r>
          </w:p>
        </w:tc>
        <w:tc>
          <w:tcPr>
            <w:tcW w:w="2693" w:type="dxa"/>
          </w:tcPr>
          <w:p w:rsidR="00B86E28" w:rsidRDefault="00B86E28" w:rsidP="00864D49">
            <w:pPr>
              <w:jc w:val="both"/>
              <w:rPr>
                <w:rFonts w:ascii="Arial" w:hAnsi="Arial" w:cs="Arial"/>
                <w:sz w:val="16"/>
                <w:szCs w:val="16"/>
              </w:rPr>
            </w:pPr>
          </w:p>
          <w:p w:rsidR="00D9692D" w:rsidRDefault="00D9692D" w:rsidP="00864D49">
            <w:pPr>
              <w:jc w:val="both"/>
              <w:rPr>
                <w:rFonts w:ascii="Arial" w:hAnsi="Arial" w:cs="Arial"/>
                <w:sz w:val="16"/>
                <w:szCs w:val="16"/>
              </w:rPr>
            </w:pPr>
            <w:r>
              <w:rPr>
                <w:rFonts w:ascii="Arial" w:hAnsi="Arial" w:cs="Arial"/>
                <w:sz w:val="16"/>
                <w:szCs w:val="16"/>
              </w:rPr>
              <w:t>Frecuentes: mielosupresión.</w:t>
            </w:r>
          </w:p>
          <w:p w:rsidR="00D9692D" w:rsidRDefault="00D9692D" w:rsidP="00864D49">
            <w:pPr>
              <w:jc w:val="both"/>
              <w:rPr>
                <w:rFonts w:ascii="Arial" w:hAnsi="Arial" w:cs="Arial"/>
                <w:sz w:val="16"/>
                <w:szCs w:val="16"/>
              </w:rPr>
            </w:pPr>
            <w:r>
              <w:rPr>
                <w:rFonts w:ascii="Arial" w:hAnsi="Arial" w:cs="Arial"/>
                <w:sz w:val="16"/>
                <w:szCs w:val="16"/>
              </w:rPr>
              <w:t>Ocasionales: anorexia, náuseas, vómito, diarrea, mucositis.</w:t>
            </w:r>
          </w:p>
          <w:p w:rsidR="00D9692D" w:rsidRPr="00035BF7" w:rsidRDefault="00D9692D" w:rsidP="00864D49">
            <w:pPr>
              <w:jc w:val="both"/>
              <w:rPr>
                <w:rFonts w:ascii="Arial" w:hAnsi="Arial" w:cs="Arial"/>
                <w:sz w:val="16"/>
                <w:szCs w:val="16"/>
              </w:rPr>
            </w:pPr>
            <w:r>
              <w:rPr>
                <w:rFonts w:ascii="Arial" w:hAnsi="Arial" w:cs="Arial"/>
                <w:sz w:val="16"/>
                <w:szCs w:val="16"/>
              </w:rPr>
              <w:t>Raros: reacción anafiláctica, urticaria, hematuria, cristaluria, fibrosis hepática, hiperbilirrubinemia.</w:t>
            </w:r>
          </w:p>
        </w:tc>
        <w:tc>
          <w:tcPr>
            <w:tcW w:w="2694" w:type="dxa"/>
          </w:tcPr>
          <w:p w:rsidR="00E245CE" w:rsidRDefault="00E245CE" w:rsidP="00864D49">
            <w:pPr>
              <w:jc w:val="both"/>
              <w:rPr>
                <w:rFonts w:ascii="Arial" w:hAnsi="Arial" w:cs="Arial"/>
                <w:sz w:val="16"/>
                <w:szCs w:val="16"/>
              </w:rPr>
            </w:pPr>
          </w:p>
          <w:p w:rsidR="00D9692D" w:rsidRPr="00035BF7" w:rsidRDefault="00D9692D" w:rsidP="00864D49">
            <w:pPr>
              <w:jc w:val="both"/>
              <w:rPr>
                <w:rFonts w:ascii="Arial" w:hAnsi="Arial" w:cs="Arial"/>
                <w:sz w:val="16"/>
                <w:szCs w:val="16"/>
              </w:rPr>
            </w:pPr>
          </w:p>
        </w:tc>
        <w:tc>
          <w:tcPr>
            <w:tcW w:w="4110" w:type="dxa"/>
          </w:tcPr>
          <w:p w:rsidR="00AB4A33" w:rsidRDefault="00AB4A33" w:rsidP="00864D49">
            <w:pPr>
              <w:jc w:val="both"/>
              <w:rPr>
                <w:rFonts w:ascii="Arial" w:hAnsi="Arial" w:cs="Arial"/>
                <w:sz w:val="16"/>
                <w:szCs w:val="16"/>
              </w:rPr>
            </w:pPr>
          </w:p>
          <w:p w:rsidR="00D9692D" w:rsidRDefault="00D9692D" w:rsidP="00864D49">
            <w:pPr>
              <w:jc w:val="both"/>
              <w:rPr>
                <w:rFonts w:ascii="Arial" w:hAnsi="Arial" w:cs="Arial"/>
                <w:sz w:val="16"/>
                <w:szCs w:val="16"/>
              </w:rPr>
            </w:pPr>
            <w:r>
              <w:rPr>
                <w:rFonts w:ascii="Arial" w:hAnsi="Arial" w:cs="Arial"/>
                <w:sz w:val="16"/>
                <w:szCs w:val="16"/>
              </w:rPr>
              <w:t>Administrar la dosis oral a h una hora fija, de preferencia a la hora de dormir con el estómago vacío (2 horas después de comer).</w:t>
            </w:r>
          </w:p>
          <w:p w:rsidR="00D9692D" w:rsidRDefault="00D9692D" w:rsidP="00864D49">
            <w:pPr>
              <w:jc w:val="both"/>
              <w:rPr>
                <w:rFonts w:ascii="Arial" w:hAnsi="Arial" w:cs="Arial"/>
                <w:sz w:val="16"/>
                <w:szCs w:val="16"/>
              </w:rPr>
            </w:pPr>
            <w:r>
              <w:rPr>
                <w:rFonts w:ascii="Arial" w:hAnsi="Arial" w:cs="Arial"/>
                <w:sz w:val="16"/>
                <w:szCs w:val="16"/>
              </w:rPr>
              <w:t>La persona encargada del cuidado del paciente deberá manipular la pastilla con guantes.</w:t>
            </w:r>
          </w:p>
          <w:p w:rsidR="00D9692D" w:rsidRPr="00035BF7" w:rsidRDefault="00D9692D" w:rsidP="00864D49">
            <w:pPr>
              <w:jc w:val="both"/>
              <w:rPr>
                <w:rFonts w:ascii="Arial" w:hAnsi="Arial" w:cs="Arial"/>
                <w:sz w:val="16"/>
                <w:szCs w:val="16"/>
              </w:rPr>
            </w:pPr>
            <w:r>
              <w:rPr>
                <w:rFonts w:ascii="Arial" w:hAnsi="Arial" w:cs="Arial"/>
                <w:sz w:val="16"/>
                <w:szCs w:val="16"/>
              </w:rPr>
              <w:t>La leche reduce la absorción.</w:t>
            </w:r>
          </w:p>
        </w:tc>
      </w:tr>
      <w:tr w:rsidR="00B86E28" w:rsidTr="004D5DB3">
        <w:tc>
          <w:tcPr>
            <w:tcW w:w="1242" w:type="dxa"/>
          </w:tcPr>
          <w:p w:rsidR="00AB4A33" w:rsidRDefault="00AB4A33" w:rsidP="00864D49">
            <w:pPr>
              <w:jc w:val="both"/>
              <w:rPr>
                <w:rFonts w:ascii="Arial" w:hAnsi="Arial" w:cs="Arial"/>
                <w:sz w:val="16"/>
                <w:szCs w:val="16"/>
              </w:rPr>
            </w:pPr>
          </w:p>
          <w:p w:rsidR="00D9692D" w:rsidRPr="00035BF7" w:rsidRDefault="00D9692D" w:rsidP="00864D49">
            <w:pPr>
              <w:jc w:val="both"/>
              <w:rPr>
                <w:rFonts w:ascii="Arial" w:hAnsi="Arial" w:cs="Arial"/>
                <w:sz w:val="16"/>
                <w:szCs w:val="16"/>
              </w:rPr>
            </w:pPr>
            <w:r>
              <w:rPr>
                <w:rFonts w:ascii="Arial" w:hAnsi="Arial" w:cs="Arial"/>
                <w:sz w:val="16"/>
                <w:szCs w:val="16"/>
              </w:rPr>
              <w:t>Tiotepa (Thioplex)</w:t>
            </w:r>
          </w:p>
        </w:tc>
        <w:tc>
          <w:tcPr>
            <w:tcW w:w="1418" w:type="dxa"/>
          </w:tcPr>
          <w:p w:rsidR="00AB4A33" w:rsidRDefault="00AB4A33" w:rsidP="00864D49">
            <w:pPr>
              <w:jc w:val="both"/>
              <w:rPr>
                <w:rFonts w:ascii="Arial" w:hAnsi="Arial" w:cs="Arial"/>
                <w:sz w:val="16"/>
                <w:szCs w:val="16"/>
              </w:rPr>
            </w:pPr>
          </w:p>
          <w:p w:rsidR="004D5DB3" w:rsidRPr="00035BF7" w:rsidRDefault="004D5DB3" w:rsidP="00864D49">
            <w:pPr>
              <w:jc w:val="both"/>
              <w:rPr>
                <w:rFonts w:ascii="Arial" w:hAnsi="Arial" w:cs="Arial"/>
                <w:sz w:val="16"/>
                <w:szCs w:val="16"/>
              </w:rPr>
            </w:pPr>
            <w:r>
              <w:rPr>
                <w:rFonts w:ascii="Arial" w:hAnsi="Arial" w:cs="Arial"/>
                <w:sz w:val="16"/>
                <w:szCs w:val="16"/>
              </w:rPr>
              <w:t>Agente alcalinizante</w:t>
            </w:r>
          </w:p>
        </w:tc>
        <w:tc>
          <w:tcPr>
            <w:tcW w:w="992" w:type="dxa"/>
          </w:tcPr>
          <w:p w:rsidR="00AB4A33" w:rsidRDefault="00AB4A33" w:rsidP="00864D49">
            <w:pPr>
              <w:jc w:val="both"/>
              <w:rPr>
                <w:rFonts w:ascii="Arial" w:hAnsi="Arial" w:cs="Arial"/>
                <w:sz w:val="16"/>
                <w:szCs w:val="16"/>
              </w:rPr>
            </w:pPr>
          </w:p>
          <w:p w:rsidR="004D5DB3" w:rsidRDefault="004D5DB3" w:rsidP="00864D49">
            <w:pPr>
              <w:jc w:val="both"/>
              <w:rPr>
                <w:rFonts w:ascii="Arial" w:hAnsi="Arial" w:cs="Arial"/>
                <w:sz w:val="16"/>
                <w:szCs w:val="16"/>
              </w:rPr>
            </w:pPr>
            <w:r>
              <w:rPr>
                <w:rFonts w:ascii="Arial" w:hAnsi="Arial" w:cs="Arial"/>
                <w:sz w:val="16"/>
                <w:szCs w:val="16"/>
              </w:rPr>
              <w:t>IV</w:t>
            </w:r>
          </w:p>
          <w:p w:rsidR="004D5DB3" w:rsidRDefault="004D5DB3" w:rsidP="00864D49">
            <w:pPr>
              <w:jc w:val="both"/>
              <w:rPr>
                <w:rFonts w:ascii="Arial" w:hAnsi="Arial" w:cs="Arial"/>
                <w:sz w:val="16"/>
                <w:szCs w:val="16"/>
              </w:rPr>
            </w:pPr>
            <w:r>
              <w:rPr>
                <w:rFonts w:ascii="Arial" w:hAnsi="Arial" w:cs="Arial"/>
                <w:sz w:val="16"/>
                <w:szCs w:val="16"/>
              </w:rPr>
              <w:t>IM</w:t>
            </w:r>
          </w:p>
          <w:p w:rsidR="004D5DB3" w:rsidRDefault="004D5DB3" w:rsidP="00864D49">
            <w:pPr>
              <w:jc w:val="both"/>
              <w:rPr>
                <w:rFonts w:ascii="Arial" w:hAnsi="Arial" w:cs="Arial"/>
                <w:sz w:val="16"/>
                <w:szCs w:val="16"/>
              </w:rPr>
            </w:pPr>
            <w:r>
              <w:rPr>
                <w:rFonts w:ascii="Arial" w:hAnsi="Arial" w:cs="Arial"/>
                <w:sz w:val="16"/>
                <w:szCs w:val="16"/>
              </w:rPr>
              <w:t>Oral</w:t>
            </w:r>
            <w:r>
              <w:rPr>
                <w:rFonts w:ascii="Arial" w:hAnsi="Arial" w:cs="Arial"/>
                <w:sz w:val="16"/>
                <w:szCs w:val="16"/>
              </w:rPr>
              <w:br/>
              <w:t>IT</w:t>
            </w:r>
          </w:p>
          <w:p w:rsidR="004D5DB3" w:rsidRPr="00035BF7" w:rsidRDefault="007F18EE" w:rsidP="00864D49">
            <w:pPr>
              <w:jc w:val="both"/>
              <w:rPr>
                <w:rFonts w:ascii="Arial" w:hAnsi="Arial" w:cs="Arial"/>
                <w:sz w:val="16"/>
                <w:szCs w:val="16"/>
              </w:rPr>
            </w:pPr>
            <w:r>
              <w:rPr>
                <w:rFonts w:ascii="Arial" w:hAnsi="Arial" w:cs="Arial"/>
                <w:sz w:val="16"/>
                <w:szCs w:val="16"/>
              </w:rPr>
              <w:t>Intratum</w:t>
            </w:r>
            <w:r w:rsidR="004D5DB3">
              <w:rPr>
                <w:rFonts w:ascii="Arial" w:hAnsi="Arial" w:cs="Arial"/>
                <w:sz w:val="16"/>
                <w:szCs w:val="16"/>
              </w:rPr>
              <w:t>or</w:t>
            </w:r>
          </w:p>
        </w:tc>
        <w:tc>
          <w:tcPr>
            <w:tcW w:w="2693" w:type="dxa"/>
          </w:tcPr>
          <w:p w:rsidR="00AB4A33" w:rsidRDefault="00AB4A33" w:rsidP="00864D49">
            <w:pPr>
              <w:jc w:val="both"/>
              <w:rPr>
                <w:rFonts w:ascii="Arial" w:hAnsi="Arial" w:cs="Arial"/>
                <w:sz w:val="16"/>
                <w:szCs w:val="16"/>
              </w:rPr>
            </w:pPr>
          </w:p>
          <w:p w:rsidR="004D5DB3" w:rsidRDefault="004D5DB3" w:rsidP="00864D49">
            <w:pPr>
              <w:jc w:val="both"/>
              <w:rPr>
                <w:rFonts w:ascii="Arial" w:hAnsi="Arial" w:cs="Arial"/>
                <w:sz w:val="16"/>
                <w:szCs w:val="16"/>
              </w:rPr>
            </w:pPr>
            <w:r>
              <w:rPr>
                <w:rFonts w:ascii="Arial" w:hAnsi="Arial" w:cs="Arial"/>
                <w:sz w:val="16"/>
                <w:szCs w:val="16"/>
              </w:rPr>
              <w:t>Frecuentes: náuseas, vómito, anorexia, mielosupresión, mucositis y esofagitis durante los regímenes de acondicionamiento para trasplante de células madre, disfunción gonodal, infertilidad.</w:t>
            </w:r>
          </w:p>
          <w:p w:rsidR="004D5DB3" w:rsidRDefault="004D5DB3" w:rsidP="00864D49">
            <w:pPr>
              <w:jc w:val="both"/>
              <w:rPr>
                <w:rFonts w:ascii="Arial" w:hAnsi="Arial" w:cs="Arial"/>
                <w:sz w:val="16"/>
                <w:szCs w:val="16"/>
              </w:rPr>
            </w:pPr>
            <w:r>
              <w:rPr>
                <w:rFonts w:ascii="Arial" w:hAnsi="Arial" w:cs="Arial"/>
                <w:sz w:val="16"/>
                <w:szCs w:val="16"/>
              </w:rPr>
              <w:t>Ocasionales: dolor en el sitio de inyección, mareos, dolor de cabeza, confusión, toxicidad hepática. Hiperpigmentación de la piel con dosis más altas.</w:t>
            </w:r>
          </w:p>
          <w:p w:rsidR="004D5DB3" w:rsidRPr="00035BF7" w:rsidRDefault="004D5DB3" w:rsidP="00864D49">
            <w:pPr>
              <w:jc w:val="both"/>
              <w:rPr>
                <w:rFonts w:ascii="Arial" w:hAnsi="Arial" w:cs="Arial"/>
                <w:sz w:val="16"/>
                <w:szCs w:val="16"/>
              </w:rPr>
            </w:pPr>
            <w:r>
              <w:rPr>
                <w:rFonts w:ascii="Arial" w:hAnsi="Arial" w:cs="Arial"/>
                <w:sz w:val="16"/>
                <w:szCs w:val="16"/>
              </w:rPr>
              <w:t>Raros: urticaria, erupción, fiebre.</w:t>
            </w:r>
          </w:p>
        </w:tc>
        <w:tc>
          <w:tcPr>
            <w:tcW w:w="2694" w:type="dxa"/>
          </w:tcPr>
          <w:p w:rsidR="00BB0B40" w:rsidRDefault="00BB0B40" w:rsidP="00864D49">
            <w:pPr>
              <w:jc w:val="both"/>
              <w:rPr>
                <w:rFonts w:ascii="Arial" w:hAnsi="Arial" w:cs="Arial"/>
                <w:sz w:val="16"/>
                <w:szCs w:val="16"/>
              </w:rPr>
            </w:pPr>
          </w:p>
          <w:p w:rsidR="004D5DB3" w:rsidRPr="00035BF7" w:rsidRDefault="004D5DB3" w:rsidP="00864D49">
            <w:pPr>
              <w:jc w:val="both"/>
              <w:rPr>
                <w:rFonts w:ascii="Arial" w:hAnsi="Arial" w:cs="Arial"/>
                <w:sz w:val="16"/>
                <w:szCs w:val="16"/>
              </w:rPr>
            </w:pPr>
            <w:r>
              <w:rPr>
                <w:rFonts w:ascii="Arial" w:hAnsi="Arial" w:cs="Arial"/>
                <w:sz w:val="16"/>
                <w:szCs w:val="16"/>
              </w:rPr>
              <w:t>Diluir las soluciones reconstituidas con solución salina normal antes de usar.</w:t>
            </w:r>
          </w:p>
        </w:tc>
        <w:tc>
          <w:tcPr>
            <w:tcW w:w="4110" w:type="dxa"/>
          </w:tcPr>
          <w:p w:rsidR="00BB0B40" w:rsidRDefault="00BB0B40" w:rsidP="00864D49">
            <w:pPr>
              <w:jc w:val="both"/>
              <w:rPr>
                <w:rFonts w:ascii="Arial" w:hAnsi="Arial" w:cs="Arial"/>
                <w:sz w:val="16"/>
                <w:szCs w:val="16"/>
              </w:rPr>
            </w:pPr>
          </w:p>
          <w:p w:rsidR="00D9692D" w:rsidRDefault="00D9692D" w:rsidP="00864D49">
            <w:pPr>
              <w:jc w:val="both"/>
              <w:rPr>
                <w:rFonts w:ascii="Arial" w:hAnsi="Arial" w:cs="Arial"/>
                <w:sz w:val="16"/>
                <w:szCs w:val="16"/>
              </w:rPr>
            </w:pPr>
            <w:r>
              <w:rPr>
                <w:rFonts w:ascii="Arial" w:hAnsi="Arial" w:cs="Arial"/>
                <w:sz w:val="16"/>
                <w:szCs w:val="16"/>
              </w:rPr>
              <w:t>Usar un filtro de 0,22 micras para eliminar turbidez durante las infusiones IV; no deben</w:t>
            </w:r>
            <w:r w:rsidR="0040345A">
              <w:rPr>
                <w:rFonts w:ascii="Arial" w:hAnsi="Arial" w:cs="Arial"/>
                <w:sz w:val="16"/>
                <w:szCs w:val="16"/>
              </w:rPr>
              <w:t xml:space="preserve"> usarse las soluciones que están muy opacas o que contienen precipitados visibles.</w:t>
            </w:r>
          </w:p>
          <w:p w:rsidR="0040345A" w:rsidRDefault="0040345A" w:rsidP="00864D49">
            <w:pPr>
              <w:jc w:val="both"/>
              <w:rPr>
                <w:rFonts w:ascii="Arial" w:hAnsi="Arial" w:cs="Arial"/>
                <w:sz w:val="16"/>
                <w:szCs w:val="16"/>
              </w:rPr>
            </w:pPr>
            <w:r>
              <w:rPr>
                <w:rFonts w:ascii="Arial" w:hAnsi="Arial" w:cs="Arial"/>
                <w:sz w:val="16"/>
                <w:szCs w:val="16"/>
              </w:rPr>
              <w:t>Monitorear de cerca la función renal.</w:t>
            </w:r>
          </w:p>
          <w:p w:rsidR="0040345A" w:rsidRDefault="0040345A" w:rsidP="00864D49">
            <w:pPr>
              <w:jc w:val="both"/>
              <w:rPr>
                <w:rFonts w:ascii="Arial" w:hAnsi="Arial" w:cs="Arial"/>
                <w:sz w:val="16"/>
                <w:szCs w:val="16"/>
              </w:rPr>
            </w:pPr>
            <w:r>
              <w:rPr>
                <w:rFonts w:ascii="Arial" w:hAnsi="Arial" w:cs="Arial"/>
                <w:sz w:val="16"/>
                <w:szCs w:val="16"/>
              </w:rPr>
              <w:t>Usar durante las primeras 8 horas de infusión.</w:t>
            </w:r>
          </w:p>
          <w:p w:rsidR="0040345A" w:rsidRDefault="0040345A" w:rsidP="00864D49">
            <w:pPr>
              <w:jc w:val="both"/>
              <w:rPr>
                <w:rFonts w:ascii="Arial" w:hAnsi="Arial" w:cs="Arial"/>
                <w:sz w:val="16"/>
                <w:szCs w:val="16"/>
              </w:rPr>
            </w:pPr>
            <w:r>
              <w:rPr>
                <w:rFonts w:ascii="Arial" w:hAnsi="Arial" w:cs="Arial"/>
                <w:sz w:val="16"/>
                <w:szCs w:val="16"/>
              </w:rPr>
              <w:t>Instruir a los encargados del cuidado que usen camisas de mangas largas y pantalones y batas largas de manera que se forme una barrera entre ellos y el paciente; también deben usar guantes para contactos directos.</w:t>
            </w:r>
          </w:p>
          <w:p w:rsidR="0040345A" w:rsidRDefault="0040345A" w:rsidP="00864D49">
            <w:pPr>
              <w:jc w:val="both"/>
              <w:rPr>
                <w:rFonts w:ascii="Arial" w:hAnsi="Arial" w:cs="Arial"/>
                <w:sz w:val="16"/>
                <w:szCs w:val="16"/>
              </w:rPr>
            </w:pPr>
            <w:r>
              <w:rPr>
                <w:rFonts w:ascii="Arial" w:hAnsi="Arial" w:cs="Arial"/>
                <w:sz w:val="16"/>
                <w:szCs w:val="16"/>
              </w:rPr>
              <w:t>Los pacientes deben bañarse entre 3 y 4 veces al día con un intervalo mínimo de 6 a 8 horas entre baños durante la infusión y durante las 24 horas siguientes a la infusión. La ropa de cama debe cambiarse con cada baño.</w:t>
            </w:r>
          </w:p>
          <w:p w:rsidR="0040345A" w:rsidRDefault="0040345A" w:rsidP="00864D49">
            <w:pPr>
              <w:jc w:val="both"/>
              <w:rPr>
                <w:rFonts w:ascii="Arial" w:hAnsi="Arial" w:cs="Arial"/>
                <w:sz w:val="16"/>
                <w:szCs w:val="16"/>
              </w:rPr>
            </w:pPr>
            <w:r>
              <w:rPr>
                <w:rFonts w:ascii="Arial" w:hAnsi="Arial" w:cs="Arial"/>
                <w:sz w:val="16"/>
                <w:szCs w:val="16"/>
              </w:rPr>
              <w:t>Evitar el uso de cremas y lociones durante la administración de tiotepa y durante las 24 horas siguientes a la infusión.</w:t>
            </w:r>
          </w:p>
          <w:p w:rsidR="0040345A" w:rsidRDefault="0040345A" w:rsidP="00864D49">
            <w:pPr>
              <w:jc w:val="both"/>
              <w:rPr>
                <w:rFonts w:ascii="Arial" w:hAnsi="Arial" w:cs="Arial"/>
                <w:sz w:val="16"/>
                <w:szCs w:val="16"/>
              </w:rPr>
            </w:pPr>
            <w:r>
              <w:rPr>
                <w:rFonts w:ascii="Arial" w:hAnsi="Arial" w:cs="Arial"/>
                <w:sz w:val="16"/>
                <w:szCs w:val="16"/>
              </w:rPr>
              <w:t xml:space="preserve">Los pañales deben cambiarse cada 2 horas </w:t>
            </w:r>
            <w:r w:rsidR="004D5DB3">
              <w:rPr>
                <w:rFonts w:ascii="Arial" w:hAnsi="Arial" w:cs="Arial"/>
                <w:sz w:val="16"/>
                <w:szCs w:val="16"/>
              </w:rPr>
              <w:t>y los pacientes deben usar ropa suelta.</w:t>
            </w:r>
          </w:p>
          <w:p w:rsidR="004D5DB3" w:rsidRDefault="004D5DB3" w:rsidP="00864D49">
            <w:pPr>
              <w:jc w:val="both"/>
              <w:rPr>
                <w:rFonts w:ascii="Arial" w:hAnsi="Arial" w:cs="Arial"/>
                <w:sz w:val="16"/>
                <w:szCs w:val="16"/>
              </w:rPr>
            </w:pPr>
            <w:r>
              <w:rPr>
                <w:rFonts w:ascii="Arial" w:hAnsi="Arial" w:cs="Arial"/>
                <w:sz w:val="16"/>
                <w:szCs w:val="16"/>
              </w:rPr>
              <w:t>No usar apósitos oclusivos durante la administración de tiotepa ni durante las 24 horas siguientes a la infusión.</w:t>
            </w:r>
          </w:p>
          <w:p w:rsidR="0040345A" w:rsidRPr="00035BF7" w:rsidRDefault="0040345A" w:rsidP="00864D49">
            <w:pPr>
              <w:jc w:val="both"/>
              <w:rPr>
                <w:rFonts w:ascii="Arial" w:hAnsi="Arial" w:cs="Arial"/>
                <w:sz w:val="16"/>
                <w:szCs w:val="16"/>
              </w:rPr>
            </w:pPr>
          </w:p>
        </w:tc>
      </w:tr>
    </w:tbl>
    <w:p w:rsidR="00B86E28" w:rsidRDefault="00B86E28" w:rsidP="00B86E28">
      <w:pPr>
        <w:jc w:val="both"/>
        <w:rPr>
          <w:rFonts w:ascii="Arial" w:hAnsi="Arial" w:cs="Arial"/>
          <w:sz w:val="24"/>
          <w:szCs w:val="24"/>
        </w:rPr>
      </w:pPr>
    </w:p>
    <w:p w:rsidR="00FB74E9" w:rsidRDefault="00FB74E9" w:rsidP="0045504C">
      <w:pPr>
        <w:jc w:val="both"/>
        <w:rPr>
          <w:rFonts w:ascii="Arial" w:hAnsi="Arial" w:cs="Arial"/>
          <w:sz w:val="24"/>
          <w:szCs w:val="24"/>
        </w:rPr>
      </w:pPr>
    </w:p>
    <w:p w:rsidR="00DD4DE9" w:rsidRPr="00EE32DA" w:rsidRDefault="00DD4DE9" w:rsidP="00DD4DE9">
      <w:pPr>
        <w:jc w:val="both"/>
        <w:rPr>
          <w:rFonts w:ascii="Arial" w:hAnsi="Arial" w:cs="Arial"/>
          <w:sz w:val="24"/>
          <w:szCs w:val="24"/>
        </w:rPr>
      </w:pPr>
      <w:r w:rsidRPr="00EE32DA">
        <w:rPr>
          <w:rFonts w:ascii="Arial" w:hAnsi="Arial" w:cs="Arial"/>
          <w:sz w:val="24"/>
          <w:szCs w:val="24"/>
        </w:rPr>
        <w:lastRenderedPageBreak/>
        <w:t>Tabla 1 Agentes quimioterapéuticos</w:t>
      </w:r>
    </w:p>
    <w:tbl>
      <w:tblPr>
        <w:tblStyle w:val="Tablaconcuadrcula"/>
        <w:tblW w:w="0" w:type="auto"/>
        <w:tblLook w:val="04A0" w:firstRow="1" w:lastRow="0" w:firstColumn="1" w:lastColumn="0" w:noHBand="0" w:noVBand="1"/>
      </w:tblPr>
      <w:tblGrid>
        <w:gridCol w:w="1568"/>
        <w:gridCol w:w="1339"/>
        <w:gridCol w:w="844"/>
        <w:gridCol w:w="3020"/>
        <w:gridCol w:w="3118"/>
        <w:gridCol w:w="3333"/>
      </w:tblGrid>
      <w:tr w:rsidR="00F01BB3" w:rsidTr="00F01BB3">
        <w:tc>
          <w:tcPr>
            <w:tcW w:w="1568" w:type="dxa"/>
          </w:tcPr>
          <w:p w:rsidR="007F18EE" w:rsidRDefault="007F18EE" w:rsidP="00E5777C">
            <w:pPr>
              <w:jc w:val="both"/>
              <w:rPr>
                <w:rFonts w:ascii="Arial" w:hAnsi="Arial" w:cs="Arial"/>
                <w:sz w:val="20"/>
                <w:szCs w:val="20"/>
              </w:rPr>
            </w:pPr>
            <w:r w:rsidRPr="0028732A">
              <w:rPr>
                <w:rFonts w:ascii="Arial" w:hAnsi="Arial" w:cs="Arial"/>
                <w:sz w:val="20"/>
                <w:szCs w:val="20"/>
              </w:rPr>
              <w:t>Fármaco</w:t>
            </w:r>
          </w:p>
          <w:p w:rsidR="007F18EE" w:rsidRPr="0028732A" w:rsidRDefault="007F18EE" w:rsidP="00E5777C">
            <w:pPr>
              <w:jc w:val="both"/>
              <w:rPr>
                <w:rFonts w:ascii="Arial" w:hAnsi="Arial" w:cs="Arial"/>
                <w:sz w:val="20"/>
                <w:szCs w:val="20"/>
              </w:rPr>
            </w:pPr>
          </w:p>
        </w:tc>
        <w:tc>
          <w:tcPr>
            <w:tcW w:w="1339" w:type="dxa"/>
          </w:tcPr>
          <w:p w:rsidR="007F18EE" w:rsidRPr="0028732A" w:rsidRDefault="007F18EE" w:rsidP="00E5777C">
            <w:pPr>
              <w:jc w:val="both"/>
              <w:rPr>
                <w:rFonts w:ascii="Arial" w:hAnsi="Arial" w:cs="Arial"/>
                <w:sz w:val="20"/>
                <w:szCs w:val="20"/>
              </w:rPr>
            </w:pPr>
            <w:r w:rsidRPr="0028732A">
              <w:rPr>
                <w:rFonts w:ascii="Arial" w:hAnsi="Arial" w:cs="Arial"/>
                <w:sz w:val="20"/>
                <w:szCs w:val="20"/>
              </w:rPr>
              <w:t xml:space="preserve">Clasificación </w:t>
            </w:r>
          </w:p>
        </w:tc>
        <w:tc>
          <w:tcPr>
            <w:tcW w:w="844" w:type="dxa"/>
          </w:tcPr>
          <w:p w:rsidR="007F18EE" w:rsidRPr="0028732A" w:rsidRDefault="007F18EE" w:rsidP="00E5777C">
            <w:pPr>
              <w:jc w:val="both"/>
              <w:rPr>
                <w:rFonts w:ascii="Arial" w:hAnsi="Arial" w:cs="Arial"/>
                <w:sz w:val="20"/>
                <w:szCs w:val="20"/>
              </w:rPr>
            </w:pPr>
            <w:r w:rsidRPr="0028732A">
              <w:rPr>
                <w:rFonts w:ascii="Arial" w:hAnsi="Arial" w:cs="Arial"/>
                <w:sz w:val="20"/>
                <w:szCs w:val="20"/>
              </w:rPr>
              <w:t xml:space="preserve">Vía de </w:t>
            </w:r>
            <w:r>
              <w:rPr>
                <w:rFonts w:ascii="Arial" w:hAnsi="Arial" w:cs="Arial"/>
                <w:sz w:val="20"/>
                <w:szCs w:val="20"/>
              </w:rPr>
              <w:t>adm.</w:t>
            </w:r>
            <w:r w:rsidRPr="0028732A">
              <w:rPr>
                <w:rFonts w:ascii="Arial" w:hAnsi="Arial" w:cs="Arial"/>
                <w:sz w:val="20"/>
                <w:szCs w:val="20"/>
              </w:rPr>
              <w:t xml:space="preserve"> </w:t>
            </w:r>
          </w:p>
        </w:tc>
        <w:tc>
          <w:tcPr>
            <w:tcW w:w="3020" w:type="dxa"/>
          </w:tcPr>
          <w:p w:rsidR="007F18EE" w:rsidRPr="0028732A" w:rsidRDefault="007F18EE" w:rsidP="00E5777C">
            <w:pPr>
              <w:jc w:val="both"/>
              <w:rPr>
                <w:rFonts w:ascii="Arial" w:hAnsi="Arial" w:cs="Arial"/>
                <w:sz w:val="20"/>
                <w:szCs w:val="20"/>
              </w:rPr>
            </w:pPr>
            <w:r w:rsidRPr="0028732A">
              <w:rPr>
                <w:rFonts w:ascii="Arial" w:hAnsi="Arial" w:cs="Arial"/>
                <w:sz w:val="20"/>
                <w:szCs w:val="20"/>
              </w:rPr>
              <w:t>Efectos secundarios</w:t>
            </w:r>
          </w:p>
        </w:tc>
        <w:tc>
          <w:tcPr>
            <w:tcW w:w="3118" w:type="dxa"/>
          </w:tcPr>
          <w:p w:rsidR="007F18EE" w:rsidRPr="0028732A" w:rsidRDefault="007F18EE" w:rsidP="00E5777C">
            <w:pPr>
              <w:jc w:val="both"/>
              <w:rPr>
                <w:rFonts w:ascii="Arial" w:hAnsi="Arial" w:cs="Arial"/>
                <w:sz w:val="20"/>
                <w:szCs w:val="20"/>
              </w:rPr>
            </w:pPr>
            <w:r w:rsidRPr="0028732A">
              <w:rPr>
                <w:rFonts w:ascii="Arial" w:hAnsi="Arial" w:cs="Arial"/>
                <w:sz w:val="20"/>
                <w:szCs w:val="20"/>
              </w:rPr>
              <w:t>Consideraciones especiales</w:t>
            </w:r>
          </w:p>
        </w:tc>
        <w:tc>
          <w:tcPr>
            <w:tcW w:w="3333" w:type="dxa"/>
          </w:tcPr>
          <w:p w:rsidR="007F18EE" w:rsidRPr="0028732A" w:rsidRDefault="007F18EE" w:rsidP="00E5777C">
            <w:pPr>
              <w:jc w:val="both"/>
              <w:rPr>
                <w:rFonts w:ascii="Arial" w:hAnsi="Arial" w:cs="Arial"/>
                <w:sz w:val="20"/>
                <w:szCs w:val="20"/>
              </w:rPr>
            </w:pPr>
            <w:r w:rsidRPr="0028732A">
              <w:rPr>
                <w:rFonts w:ascii="Arial" w:hAnsi="Arial" w:cs="Arial"/>
                <w:sz w:val="20"/>
                <w:szCs w:val="20"/>
              </w:rPr>
              <w:t>Acciones de enfermería</w:t>
            </w:r>
          </w:p>
        </w:tc>
      </w:tr>
      <w:tr w:rsidR="00F01BB3" w:rsidTr="00F01BB3">
        <w:tc>
          <w:tcPr>
            <w:tcW w:w="1568" w:type="dxa"/>
          </w:tcPr>
          <w:p w:rsidR="007F18EE" w:rsidRDefault="007F18EE" w:rsidP="00E5777C">
            <w:pPr>
              <w:jc w:val="both"/>
              <w:rPr>
                <w:rFonts w:ascii="Arial" w:hAnsi="Arial" w:cs="Arial"/>
                <w:sz w:val="16"/>
                <w:szCs w:val="16"/>
              </w:rPr>
            </w:pPr>
          </w:p>
          <w:p w:rsidR="007F18EE" w:rsidRPr="00035BF7" w:rsidRDefault="007F18EE" w:rsidP="00E5777C">
            <w:pPr>
              <w:jc w:val="both"/>
              <w:rPr>
                <w:rFonts w:ascii="Arial" w:hAnsi="Arial" w:cs="Arial"/>
                <w:sz w:val="16"/>
                <w:szCs w:val="16"/>
              </w:rPr>
            </w:pPr>
            <w:r>
              <w:rPr>
                <w:rFonts w:ascii="Arial" w:hAnsi="Arial" w:cs="Arial"/>
                <w:sz w:val="16"/>
                <w:szCs w:val="16"/>
              </w:rPr>
              <w:t>Topotecán (Hycamtín)</w:t>
            </w:r>
          </w:p>
        </w:tc>
        <w:tc>
          <w:tcPr>
            <w:tcW w:w="1339" w:type="dxa"/>
          </w:tcPr>
          <w:p w:rsidR="007F18EE" w:rsidRDefault="007F18EE" w:rsidP="00E5777C">
            <w:pPr>
              <w:jc w:val="both"/>
              <w:rPr>
                <w:rFonts w:ascii="Arial" w:hAnsi="Arial" w:cs="Arial"/>
                <w:sz w:val="16"/>
                <w:szCs w:val="16"/>
              </w:rPr>
            </w:pPr>
          </w:p>
          <w:p w:rsidR="007F18EE" w:rsidRPr="00035BF7" w:rsidRDefault="007F18EE" w:rsidP="00E5777C">
            <w:pPr>
              <w:jc w:val="both"/>
              <w:rPr>
                <w:rFonts w:ascii="Arial" w:hAnsi="Arial" w:cs="Arial"/>
                <w:sz w:val="16"/>
                <w:szCs w:val="16"/>
              </w:rPr>
            </w:pPr>
            <w:r>
              <w:rPr>
                <w:rFonts w:ascii="Arial" w:hAnsi="Arial" w:cs="Arial"/>
                <w:sz w:val="16"/>
                <w:szCs w:val="16"/>
              </w:rPr>
              <w:t>Derivado vegetal</w:t>
            </w:r>
          </w:p>
        </w:tc>
        <w:tc>
          <w:tcPr>
            <w:tcW w:w="844" w:type="dxa"/>
          </w:tcPr>
          <w:p w:rsidR="007F18EE" w:rsidRDefault="007F18EE" w:rsidP="00E5777C">
            <w:pPr>
              <w:jc w:val="both"/>
              <w:rPr>
                <w:rFonts w:ascii="Arial" w:hAnsi="Arial" w:cs="Arial"/>
                <w:sz w:val="16"/>
                <w:szCs w:val="16"/>
              </w:rPr>
            </w:pPr>
          </w:p>
          <w:p w:rsidR="007F18EE" w:rsidRDefault="007F18EE" w:rsidP="00E5777C">
            <w:pPr>
              <w:jc w:val="both"/>
              <w:rPr>
                <w:rFonts w:ascii="Arial" w:hAnsi="Arial" w:cs="Arial"/>
                <w:sz w:val="16"/>
                <w:szCs w:val="16"/>
              </w:rPr>
            </w:pPr>
            <w:r>
              <w:rPr>
                <w:rFonts w:ascii="Arial" w:hAnsi="Arial" w:cs="Arial"/>
                <w:sz w:val="16"/>
                <w:szCs w:val="16"/>
              </w:rPr>
              <w:t>IV</w:t>
            </w:r>
          </w:p>
          <w:p w:rsidR="007F18EE" w:rsidRPr="00035BF7" w:rsidRDefault="007F18EE" w:rsidP="00E5777C">
            <w:pPr>
              <w:jc w:val="both"/>
              <w:rPr>
                <w:rFonts w:ascii="Arial" w:hAnsi="Arial" w:cs="Arial"/>
                <w:sz w:val="16"/>
                <w:szCs w:val="16"/>
              </w:rPr>
            </w:pPr>
            <w:r>
              <w:rPr>
                <w:rFonts w:ascii="Arial" w:hAnsi="Arial" w:cs="Arial"/>
                <w:sz w:val="16"/>
                <w:szCs w:val="16"/>
              </w:rPr>
              <w:t>IT</w:t>
            </w:r>
          </w:p>
        </w:tc>
        <w:tc>
          <w:tcPr>
            <w:tcW w:w="3020" w:type="dxa"/>
          </w:tcPr>
          <w:p w:rsidR="007F18EE" w:rsidRDefault="007F18EE" w:rsidP="00E5777C">
            <w:pPr>
              <w:jc w:val="both"/>
              <w:rPr>
                <w:rFonts w:ascii="Arial" w:hAnsi="Arial" w:cs="Arial"/>
                <w:sz w:val="16"/>
                <w:szCs w:val="16"/>
              </w:rPr>
            </w:pPr>
          </w:p>
          <w:p w:rsidR="007F18EE" w:rsidRDefault="007F18EE" w:rsidP="00E5777C">
            <w:pPr>
              <w:jc w:val="both"/>
              <w:rPr>
                <w:rFonts w:ascii="Arial" w:hAnsi="Arial" w:cs="Arial"/>
                <w:sz w:val="16"/>
                <w:szCs w:val="16"/>
              </w:rPr>
            </w:pPr>
            <w:r>
              <w:rPr>
                <w:rFonts w:ascii="Arial" w:hAnsi="Arial" w:cs="Arial"/>
                <w:sz w:val="16"/>
                <w:szCs w:val="16"/>
              </w:rPr>
              <w:t>Frecuentes: mielosupresión, alopecia.</w:t>
            </w:r>
          </w:p>
          <w:p w:rsidR="007F18EE" w:rsidRDefault="007F18EE" w:rsidP="00E5777C">
            <w:pPr>
              <w:jc w:val="both"/>
              <w:rPr>
                <w:rFonts w:ascii="Arial" w:hAnsi="Arial" w:cs="Arial"/>
                <w:sz w:val="16"/>
                <w:szCs w:val="16"/>
              </w:rPr>
            </w:pPr>
            <w:r>
              <w:rPr>
                <w:rFonts w:ascii="Arial" w:hAnsi="Arial" w:cs="Arial"/>
                <w:sz w:val="16"/>
                <w:szCs w:val="16"/>
              </w:rPr>
              <w:t>Ocasionales: náuseas, vómito, diarrea, mucositis, síntomas tipo gripe, dolor d cabeza, erupción, valores elevados de las pruebas de la función hepática, fosfatasa alcalina elevada, bilirrubina elevada, astenia.</w:t>
            </w:r>
          </w:p>
          <w:p w:rsidR="007F18EE" w:rsidRDefault="007F18EE" w:rsidP="00E5777C">
            <w:pPr>
              <w:jc w:val="both"/>
              <w:rPr>
                <w:rFonts w:ascii="Arial" w:hAnsi="Arial" w:cs="Arial"/>
                <w:sz w:val="16"/>
                <w:szCs w:val="16"/>
              </w:rPr>
            </w:pPr>
            <w:r>
              <w:rPr>
                <w:rFonts w:ascii="Arial" w:hAnsi="Arial" w:cs="Arial"/>
                <w:sz w:val="16"/>
                <w:szCs w:val="16"/>
              </w:rPr>
              <w:t>Raros: dolor abdominal, estremecimientos, hematuria microscópica.</w:t>
            </w:r>
          </w:p>
          <w:p w:rsidR="007F18EE" w:rsidRPr="00035BF7" w:rsidRDefault="007F18EE" w:rsidP="00E5777C">
            <w:pPr>
              <w:jc w:val="both"/>
              <w:rPr>
                <w:rFonts w:ascii="Arial" w:hAnsi="Arial" w:cs="Arial"/>
                <w:sz w:val="16"/>
                <w:szCs w:val="16"/>
              </w:rPr>
            </w:pPr>
            <w:r>
              <w:rPr>
                <w:rFonts w:ascii="Arial" w:hAnsi="Arial" w:cs="Arial"/>
                <w:sz w:val="16"/>
                <w:szCs w:val="16"/>
              </w:rPr>
              <w:t>Administración IT: náuseas, vómito, dolor de cabeza, fiebre, dolor de espalda, leucoencefalopatía, convulsiones o parálisis.</w:t>
            </w:r>
          </w:p>
        </w:tc>
        <w:tc>
          <w:tcPr>
            <w:tcW w:w="3118" w:type="dxa"/>
          </w:tcPr>
          <w:p w:rsidR="007F18EE" w:rsidRDefault="007F18EE" w:rsidP="00E5777C">
            <w:pPr>
              <w:jc w:val="both"/>
              <w:rPr>
                <w:rFonts w:ascii="Arial" w:hAnsi="Arial" w:cs="Arial"/>
                <w:sz w:val="16"/>
                <w:szCs w:val="16"/>
              </w:rPr>
            </w:pPr>
          </w:p>
          <w:p w:rsidR="007F18EE" w:rsidRPr="00035BF7" w:rsidRDefault="007F18EE" w:rsidP="00E5777C">
            <w:pPr>
              <w:jc w:val="both"/>
              <w:rPr>
                <w:rFonts w:ascii="Arial" w:hAnsi="Arial" w:cs="Arial"/>
                <w:sz w:val="16"/>
                <w:szCs w:val="16"/>
              </w:rPr>
            </w:pPr>
          </w:p>
        </w:tc>
        <w:tc>
          <w:tcPr>
            <w:tcW w:w="3333" w:type="dxa"/>
          </w:tcPr>
          <w:p w:rsidR="007F18EE" w:rsidRDefault="007F18EE" w:rsidP="00E5777C">
            <w:pPr>
              <w:jc w:val="both"/>
              <w:rPr>
                <w:rFonts w:ascii="Arial" w:hAnsi="Arial" w:cs="Arial"/>
                <w:sz w:val="16"/>
                <w:szCs w:val="16"/>
              </w:rPr>
            </w:pPr>
          </w:p>
          <w:p w:rsidR="00283BFB" w:rsidRPr="00035BF7" w:rsidRDefault="00283BFB" w:rsidP="00E5777C">
            <w:pPr>
              <w:jc w:val="both"/>
              <w:rPr>
                <w:rFonts w:ascii="Arial" w:hAnsi="Arial" w:cs="Arial"/>
                <w:sz w:val="16"/>
                <w:szCs w:val="16"/>
              </w:rPr>
            </w:pPr>
            <w:r>
              <w:rPr>
                <w:rFonts w:ascii="Arial" w:hAnsi="Arial" w:cs="Arial"/>
                <w:sz w:val="16"/>
                <w:szCs w:val="16"/>
              </w:rPr>
              <w:t>Administrar las dosis IT en un periodo de 5 minutos para evitar posibles reacciones adversas.</w:t>
            </w:r>
          </w:p>
        </w:tc>
      </w:tr>
      <w:tr w:rsidR="00F01BB3" w:rsidTr="00F01BB3">
        <w:tc>
          <w:tcPr>
            <w:tcW w:w="1568" w:type="dxa"/>
          </w:tcPr>
          <w:p w:rsidR="007F18EE" w:rsidRDefault="007F18EE" w:rsidP="00E5777C">
            <w:pPr>
              <w:jc w:val="both"/>
              <w:rPr>
                <w:rFonts w:ascii="Arial" w:hAnsi="Arial" w:cs="Arial"/>
                <w:sz w:val="16"/>
                <w:szCs w:val="16"/>
              </w:rPr>
            </w:pPr>
          </w:p>
          <w:p w:rsidR="00283BFB" w:rsidRPr="00035BF7" w:rsidRDefault="00283BFB" w:rsidP="00E5777C">
            <w:pPr>
              <w:jc w:val="both"/>
              <w:rPr>
                <w:rFonts w:ascii="Arial" w:hAnsi="Arial" w:cs="Arial"/>
                <w:sz w:val="16"/>
                <w:szCs w:val="16"/>
              </w:rPr>
            </w:pPr>
            <w:r>
              <w:rPr>
                <w:rFonts w:ascii="Arial" w:hAnsi="Arial" w:cs="Arial"/>
                <w:sz w:val="16"/>
                <w:szCs w:val="16"/>
              </w:rPr>
              <w:t>Vinblastina(velban, velbe)</w:t>
            </w:r>
          </w:p>
        </w:tc>
        <w:tc>
          <w:tcPr>
            <w:tcW w:w="1339" w:type="dxa"/>
          </w:tcPr>
          <w:p w:rsidR="007F18EE" w:rsidRDefault="007F18EE" w:rsidP="00E5777C">
            <w:pPr>
              <w:jc w:val="both"/>
              <w:rPr>
                <w:rFonts w:ascii="Arial" w:hAnsi="Arial" w:cs="Arial"/>
                <w:sz w:val="16"/>
                <w:szCs w:val="16"/>
              </w:rPr>
            </w:pPr>
          </w:p>
          <w:p w:rsidR="00283BFB" w:rsidRPr="00035BF7" w:rsidRDefault="00283BFB" w:rsidP="00E5777C">
            <w:pPr>
              <w:jc w:val="both"/>
              <w:rPr>
                <w:rFonts w:ascii="Arial" w:hAnsi="Arial" w:cs="Arial"/>
                <w:sz w:val="16"/>
                <w:szCs w:val="16"/>
              </w:rPr>
            </w:pPr>
            <w:r>
              <w:rPr>
                <w:rFonts w:ascii="Arial" w:hAnsi="Arial" w:cs="Arial"/>
                <w:sz w:val="16"/>
                <w:szCs w:val="16"/>
              </w:rPr>
              <w:t>Alcaloide vegetal</w:t>
            </w:r>
          </w:p>
        </w:tc>
        <w:tc>
          <w:tcPr>
            <w:tcW w:w="844" w:type="dxa"/>
          </w:tcPr>
          <w:p w:rsidR="007F18EE" w:rsidRDefault="007F18EE" w:rsidP="00E5777C">
            <w:pPr>
              <w:jc w:val="both"/>
              <w:rPr>
                <w:rFonts w:ascii="Arial" w:hAnsi="Arial" w:cs="Arial"/>
                <w:sz w:val="16"/>
                <w:szCs w:val="16"/>
              </w:rPr>
            </w:pPr>
          </w:p>
          <w:p w:rsidR="00283BFB" w:rsidRPr="00035BF7" w:rsidRDefault="00283BFB" w:rsidP="00E5777C">
            <w:pPr>
              <w:jc w:val="both"/>
              <w:rPr>
                <w:rFonts w:ascii="Arial" w:hAnsi="Arial" w:cs="Arial"/>
                <w:sz w:val="16"/>
                <w:szCs w:val="16"/>
              </w:rPr>
            </w:pPr>
            <w:r>
              <w:rPr>
                <w:rFonts w:ascii="Arial" w:hAnsi="Arial" w:cs="Arial"/>
                <w:sz w:val="16"/>
                <w:szCs w:val="16"/>
              </w:rPr>
              <w:t>IV</w:t>
            </w:r>
          </w:p>
        </w:tc>
        <w:tc>
          <w:tcPr>
            <w:tcW w:w="3020" w:type="dxa"/>
          </w:tcPr>
          <w:p w:rsidR="007F18EE" w:rsidRDefault="007F18EE" w:rsidP="00E5777C">
            <w:pPr>
              <w:jc w:val="both"/>
              <w:rPr>
                <w:rFonts w:ascii="Arial" w:hAnsi="Arial" w:cs="Arial"/>
                <w:sz w:val="16"/>
                <w:szCs w:val="16"/>
              </w:rPr>
            </w:pPr>
          </w:p>
          <w:p w:rsidR="00283BFB" w:rsidRDefault="00283BFB" w:rsidP="00E5777C">
            <w:pPr>
              <w:jc w:val="both"/>
              <w:rPr>
                <w:rFonts w:ascii="Arial" w:hAnsi="Arial" w:cs="Arial"/>
                <w:sz w:val="16"/>
                <w:szCs w:val="16"/>
              </w:rPr>
            </w:pPr>
            <w:r>
              <w:rPr>
                <w:rFonts w:ascii="Arial" w:hAnsi="Arial" w:cs="Arial"/>
                <w:sz w:val="16"/>
                <w:szCs w:val="16"/>
              </w:rPr>
              <w:t>Frecuentes: mielosupresión, alopecia.</w:t>
            </w:r>
          </w:p>
          <w:p w:rsidR="00283BFB" w:rsidRDefault="00283BFB" w:rsidP="00E5777C">
            <w:pPr>
              <w:jc w:val="both"/>
              <w:rPr>
                <w:rFonts w:ascii="Arial" w:hAnsi="Arial" w:cs="Arial"/>
                <w:sz w:val="16"/>
                <w:szCs w:val="16"/>
              </w:rPr>
            </w:pPr>
            <w:r>
              <w:rPr>
                <w:rFonts w:ascii="Arial" w:hAnsi="Arial" w:cs="Arial"/>
                <w:sz w:val="16"/>
                <w:szCs w:val="16"/>
              </w:rPr>
              <w:t>Ocasionales: estreñimiento, pérdida de los reflejos tendinosos profundos, parestesias.</w:t>
            </w:r>
          </w:p>
          <w:p w:rsidR="00283BFB" w:rsidRPr="00035BF7" w:rsidRDefault="00283BFB" w:rsidP="00E5777C">
            <w:pPr>
              <w:jc w:val="both"/>
              <w:rPr>
                <w:rFonts w:ascii="Arial" w:hAnsi="Arial" w:cs="Arial"/>
                <w:sz w:val="16"/>
                <w:szCs w:val="16"/>
              </w:rPr>
            </w:pPr>
            <w:r>
              <w:rPr>
                <w:rFonts w:ascii="Arial" w:hAnsi="Arial" w:cs="Arial"/>
                <w:sz w:val="16"/>
                <w:szCs w:val="16"/>
              </w:rPr>
              <w:t>Raros: náuseas, vómito, anorexia, dolor, óseo, reacción alérgica, estomatitis, neuropatía periférica, ronquera, ptosis (descenso del parpado superior), visión doble.</w:t>
            </w:r>
          </w:p>
        </w:tc>
        <w:tc>
          <w:tcPr>
            <w:tcW w:w="3118" w:type="dxa"/>
          </w:tcPr>
          <w:p w:rsidR="007F18EE" w:rsidRPr="00035BF7" w:rsidRDefault="007F18EE" w:rsidP="00E5777C">
            <w:pPr>
              <w:jc w:val="both"/>
              <w:rPr>
                <w:rFonts w:ascii="Arial" w:hAnsi="Arial" w:cs="Arial"/>
                <w:sz w:val="16"/>
                <w:szCs w:val="16"/>
              </w:rPr>
            </w:pPr>
          </w:p>
        </w:tc>
        <w:tc>
          <w:tcPr>
            <w:tcW w:w="3333" w:type="dxa"/>
          </w:tcPr>
          <w:p w:rsidR="007F18EE" w:rsidRDefault="007F18EE" w:rsidP="00E5777C">
            <w:pPr>
              <w:jc w:val="both"/>
              <w:rPr>
                <w:rFonts w:ascii="Arial" w:hAnsi="Arial" w:cs="Arial"/>
                <w:sz w:val="16"/>
                <w:szCs w:val="16"/>
              </w:rPr>
            </w:pPr>
          </w:p>
          <w:p w:rsidR="00283BFB" w:rsidRPr="00035BF7" w:rsidRDefault="00283BFB" w:rsidP="00E5777C">
            <w:pPr>
              <w:jc w:val="both"/>
              <w:rPr>
                <w:rFonts w:ascii="Arial" w:hAnsi="Arial" w:cs="Arial"/>
                <w:sz w:val="16"/>
                <w:szCs w:val="16"/>
              </w:rPr>
            </w:pPr>
            <w:r>
              <w:rPr>
                <w:rFonts w:ascii="Arial" w:hAnsi="Arial" w:cs="Arial"/>
                <w:sz w:val="16"/>
                <w:szCs w:val="16"/>
              </w:rPr>
              <w:t>Vesicante: daño tisular doloroso si ocurre extravasación; evitar extravasación.</w:t>
            </w:r>
          </w:p>
        </w:tc>
      </w:tr>
      <w:tr w:rsidR="00F01BB3" w:rsidTr="00F01BB3">
        <w:tc>
          <w:tcPr>
            <w:tcW w:w="1568" w:type="dxa"/>
          </w:tcPr>
          <w:p w:rsidR="007F18EE" w:rsidRDefault="007F18EE" w:rsidP="00E5777C">
            <w:pPr>
              <w:jc w:val="both"/>
              <w:rPr>
                <w:rFonts w:ascii="Arial" w:hAnsi="Arial" w:cs="Arial"/>
                <w:sz w:val="16"/>
                <w:szCs w:val="16"/>
              </w:rPr>
            </w:pPr>
          </w:p>
          <w:p w:rsidR="00D71F94" w:rsidRPr="00022DD7" w:rsidRDefault="00D71F94" w:rsidP="00E5777C">
            <w:pPr>
              <w:jc w:val="both"/>
              <w:rPr>
                <w:rFonts w:ascii="Arial" w:hAnsi="Arial" w:cs="Arial"/>
                <w:sz w:val="16"/>
                <w:szCs w:val="16"/>
              </w:rPr>
            </w:pPr>
            <w:r>
              <w:rPr>
                <w:rFonts w:ascii="Arial" w:hAnsi="Arial" w:cs="Arial"/>
                <w:sz w:val="16"/>
                <w:szCs w:val="16"/>
              </w:rPr>
              <w:t>Vincristina (Oncovin, Vincasar PFS)</w:t>
            </w:r>
          </w:p>
        </w:tc>
        <w:tc>
          <w:tcPr>
            <w:tcW w:w="1339" w:type="dxa"/>
          </w:tcPr>
          <w:p w:rsidR="007F18EE" w:rsidRDefault="007F18EE" w:rsidP="00E5777C">
            <w:pPr>
              <w:jc w:val="both"/>
              <w:rPr>
                <w:rFonts w:ascii="Arial" w:hAnsi="Arial" w:cs="Arial"/>
                <w:sz w:val="16"/>
                <w:szCs w:val="16"/>
              </w:rPr>
            </w:pPr>
          </w:p>
          <w:p w:rsidR="00D71F94" w:rsidRPr="00022DD7" w:rsidRDefault="00D71F94" w:rsidP="00E5777C">
            <w:pPr>
              <w:jc w:val="both"/>
              <w:rPr>
                <w:rFonts w:ascii="Arial" w:hAnsi="Arial" w:cs="Arial"/>
                <w:sz w:val="16"/>
                <w:szCs w:val="16"/>
              </w:rPr>
            </w:pPr>
            <w:r>
              <w:rPr>
                <w:rFonts w:ascii="Arial" w:hAnsi="Arial" w:cs="Arial"/>
                <w:sz w:val="16"/>
                <w:szCs w:val="16"/>
              </w:rPr>
              <w:t>Derivado vegetal; alcaloide de la vinca</w:t>
            </w:r>
          </w:p>
        </w:tc>
        <w:tc>
          <w:tcPr>
            <w:tcW w:w="844" w:type="dxa"/>
          </w:tcPr>
          <w:p w:rsidR="007F18EE" w:rsidRDefault="007F18EE" w:rsidP="00E5777C">
            <w:pPr>
              <w:jc w:val="both"/>
              <w:rPr>
                <w:rFonts w:ascii="Arial" w:hAnsi="Arial" w:cs="Arial"/>
                <w:sz w:val="16"/>
                <w:szCs w:val="16"/>
              </w:rPr>
            </w:pPr>
          </w:p>
          <w:p w:rsidR="00D71F94" w:rsidRPr="00022DD7" w:rsidRDefault="00D71F94" w:rsidP="00E5777C">
            <w:pPr>
              <w:jc w:val="both"/>
              <w:rPr>
                <w:rFonts w:ascii="Arial" w:hAnsi="Arial" w:cs="Arial"/>
                <w:sz w:val="16"/>
                <w:szCs w:val="16"/>
              </w:rPr>
            </w:pPr>
            <w:r>
              <w:rPr>
                <w:rFonts w:ascii="Arial" w:hAnsi="Arial" w:cs="Arial"/>
                <w:sz w:val="16"/>
                <w:szCs w:val="16"/>
              </w:rPr>
              <w:t>IV</w:t>
            </w:r>
          </w:p>
        </w:tc>
        <w:tc>
          <w:tcPr>
            <w:tcW w:w="3020" w:type="dxa"/>
          </w:tcPr>
          <w:p w:rsidR="007F18EE" w:rsidRDefault="007F18EE" w:rsidP="00E5777C">
            <w:pPr>
              <w:jc w:val="both"/>
              <w:rPr>
                <w:rFonts w:ascii="Arial" w:hAnsi="Arial" w:cs="Arial"/>
                <w:sz w:val="16"/>
                <w:szCs w:val="16"/>
              </w:rPr>
            </w:pPr>
          </w:p>
          <w:p w:rsidR="00D71F94" w:rsidRDefault="00D71F94" w:rsidP="00E5777C">
            <w:pPr>
              <w:jc w:val="both"/>
              <w:rPr>
                <w:rFonts w:ascii="Arial" w:hAnsi="Arial" w:cs="Arial"/>
                <w:sz w:val="16"/>
                <w:szCs w:val="16"/>
              </w:rPr>
            </w:pPr>
            <w:r>
              <w:rPr>
                <w:rFonts w:ascii="Arial" w:hAnsi="Arial" w:cs="Arial"/>
                <w:sz w:val="16"/>
                <w:szCs w:val="16"/>
              </w:rPr>
              <w:t>Frecuentes: ulceración local si se extravasa, pérdida del pelo, pérdida de los reflejos tendinosos profundos, estreñimiento.</w:t>
            </w:r>
          </w:p>
          <w:p w:rsidR="00D71F94" w:rsidRDefault="00D71F94" w:rsidP="00E5777C">
            <w:pPr>
              <w:jc w:val="both"/>
              <w:rPr>
                <w:rFonts w:ascii="Arial" w:hAnsi="Arial" w:cs="Arial"/>
                <w:sz w:val="16"/>
                <w:szCs w:val="16"/>
              </w:rPr>
            </w:pPr>
            <w:r>
              <w:rPr>
                <w:rFonts w:ascii="Arial" w:hAnsi="Arial" w:cs="Arial"/>
                <w:sz w:val="16"/>
                <w:szCs w:val="16"/>
              </w:rPr>
              <w:t>Ocasionales: dolor mandibular, debilidad, adormecimiento, hormigueo, torpeza.</w:t>
            </w:r>
          </w:p>
          <w:p w:rsidR="00D71F94" w:rsidRPr="00022DD7" w:rsidRDefault="00D71F94" w:rsidP="00E5777C">
            <w:pPr>
              <w:jc w:val="both"/>
              <w:rPr>
                <w:rFonts w:ascii="Arial" w:hAnsi="Arial" w:cs="Arial"/>
                <w:sz w:val="16"/>
                <w:szCs w:val="16"/>
              </w:rPr>
            </w:pPr>
            <w:r>
              <w:rPr>
                <w:rFonts w:ascii="Arial" w:hAnsi="Arial" w:cs="Arial"/>
                <w:sz w:val="16"/>
                <w:szCs w:val="16"/>
              </w:rPr>
              <w:t xml:space="preserve">Raros: íleo paralítico, ptosis, parálisis de las cuerdas vocales, mielosupresión, depresión del SNC, convulsiones, síndrome de </w:t>
            </w:r>
            <w:r w:rsidR="00F01BB3">
              <w:rPr>
                <w:rFonts w:ascii="Arial" w:hAnsi="Arial" w:cs="Arial"/>
                <w:sz w:val="16"/>
                <w:szCs w:val="16"/>
              </w:rPr>
              <w:t>secreción</w:t>
            </w:r>
            <w:r w:rsidR="008711BC">
              <w:rPr>
                <w:rFonts w:ascii="Arial" w:hAnsi="Arial" w:cs="Arial"/>
                <w:sz w:val="16"/>
                <w:szCs w:val="16"/>
              </w:rPr>
              <w:t xml:space="preserve"> deficiente de la hormona antidiurética.</w:t>
            </w:r>
          </w:p>
        </w:tc>
        <w:tc>
          <w:tcPr>
            <w:tcW w:w="3118" w:type="dxa"/>
          </w:tcPr>
          <w:p w:rsidR="007F18EE" w:rsidRDefault="007F18EE" w:rsidP="00E5777C">
            <w:pPr>
              <w:jc w:val="both"/>
              <w:rPr>
                <w:rFonts w:ascii="Arial" w:hAnsi="Arial" w:cs="Arial"/>
                <w:sz w:val="16"/>
                <w:szCs w:val="16"/>
              </w:rPr>
            </w:pPr>
          </w:p>
          <w:p w:rsidR="008711BC" w:rsidRDefault="008711BC" w:rsidP="00E5777C">
            <w:pPr>
              <w:jc w:val="both"/>
              <w:rPr>
                <w:rFonts w:ascii="Arial" w:hAnsi="Arial" w:cs="Arial"/>
                <w:sz w:val="16"/>
                <w:szCs w:val="16"/>
              </w:rPr>
            </w:pPr>
            <w:r>
              <w:rPr>
                <w:rFonts w:ascii="Arial" w:hAnsi="Arial" w:cs="Arial"/>
                <w:sz w:val="16"/>
                <w:szCs w:val="16"/>
              </w:rPr>
              <w:t xml:space="preserve">Refrigerar y proteger de la luz. </w:t>
            </w:r>
          </w:p>
          <w:p w:rsidR="008711BC" w:rsidRDefault="008711BC" w:rsidP="00E5777C">
            <w:pPr>
              <w:jc w:val="both"/>
              <w:rPr>
                <w:rFonts w:ascii="Arial" w:hAnsi="Arial" w:cs="Arial"/>
                <w:sz w:val="16"/>
                <w:szCs w:val="16"/>
              </w:rPr>
            </w:pPr>
            <w:r>
              <w:rPr>
                <w:rFonts w:ascii="Arial" w:hAnsi="Arial" w:cs="Arial"/>
                <w:sz w:val="16"/>
                <w:szCs w:val="16"/>
              </w:rPr>
              <w:t xml:space="preserve">Es posible que la disfunción hepática o la radioterapia concomitante al hígado </w:t>
            </w:r>
            <w:r w:rsidR="00F01BB3">
              <w:rPr>
                <w:rFonts w:ascii="Arial" w:hAnsi="Arial" w:cs="Arial"/>
                <w:sz w:val="16"/>
                <w:szCs w:val="16"/>
              </w:rPr>
              <w:t>aumenten</w:t>
            </w:r>
            <w:r>
              <w:rPr>
                <w:rFonts w:ascii="Arial" w:hAnsi="Arial" w:cs="Arial"/>
                <w:sz w:val="16"/>
                <w:szCs w:val="16"/>
              </w:rPr>
              <w:t xml:space="preserve"> la toxicidad.</w:t>
            </w:r>
          </w:p>
          <w:p w:rsidR="008711BC" w:rsidRDefault="008711BC" w:rsidP="00E5777C">
            <w:pPr>
              <w:jc w:val="both"/>
              <w:rPr>
                <w:rFonts w:ascii="Arial" w:hAnsi="Arial" w:cs="Arial"/>
                <w:sz w:val="16"/>
                <w:szCs w:val="16"/>
              </w:rPr>
            </w:pPr>
            <w:r>
              <w:rPr>
                <w:rFonts w:ascii="Arial" w:hAnsi="Arial" w:cs="Arial"/>
                <w:sz w:val="16"/>
                <w:szCs w:val="16"/>
              </w:rPr>
              <w:t>Debe presentar una etiqueta en</w:t>
            </w:r>
            <w:r w:rsidR="00F01BB3">
              <w:rPr>
                <w:rFonts w:ascii="Arial" w:hAnsi="Arial" w:cs="Arial"/>
                <w:sz w:val="16"/>
                <w:szCs w:val="16"/>
              </w:rPr>
              <w:t xml:space="preserve"> </w:t>
            </w:r>
            <w:r>
              <w:rPr>
                <w:rFonts w:ascii="Arial" w:hAnsi="Arial" w:cs="Arial"/>
                <w:sz w:val="16"/>
                <w:szCs w:val="16"/>
              </w:rPr>
              <w:t xml:space="preserve">la envoltura con </w:t>
            </w:r>
            <w:r w:rsidR="00F01BB3">
              <w:rPr>
                <w:rFonts w:ascii="Arial" w:hAnsi="Arial" w:cs="Arial"/>
                <w:sz w:val="16"/>
                <w:szCs w:val="16"/>
              </w:rPr>
              <w:t>la siguiente</w:t>
            </w:r>
            <w:r>
              <w:rPr>
                <w:rFonts w:ascii="Arial" w:hAnsi="Arial" w:cs="Arial"/>
                <w:sz w:val="16"/>
                <w:szCs w:val="16"/>
              </w:rPr>
              <w:t xml:space="preserve"> leyenda “mortal si se administra por vía intratecal. Para inyección intravenosa únicamente”.</w:t>
            </w:r>
          </w:p>
          <w:p w:rsidR="008711BC" w:rsidRDefault="008711BC" w:rsidP="00E5777C">
            <w:pPr>
              <w:jc w:val="both"/>
              <w:rPr>
                <w:rFonts w:ascii="Arial" w:hAnsi="Arial" w:cs="Arial"/>
                <w:sz w:val="16"/>
                <w:szCs w:val="16"/>
              </w:rPr>
            </w:pPr>
            <w:r>
              <w:rPr>
                <w:rFonts w:ascii="Arial" w:hAnsi="Arial" w:cs="Arial"/>
                <w:sz w:val="16"/>
                <w:szCs w:val="16"/>
              </w:rPr>
              <w:t>Es posible que a los bebés se les dificulte mamar a causa del dolor mandibular.</w:t>
            </w:r>
          </w:p>
          <w:p w:rsidR="00F8348E" w:rsidRPr="00022DD7" w:rsidRDefault="00F8348E" w:rsidP="00E5777C">
            <w:pPr>
              <w:jc w:val="both"/>
              <w:rPr>
                <w:rFonts w:ascii="Arial" w:hAnsi="Arial" w:cs="Arial"/>
                <w:sz w:val="16"/>
                <w:szCs w:val="16"/>
              </w:rPr>
            </w:pPr>
          </w:p>
        </w:tc>
        <w:tc>
          <w:tcPr>
            <w:tcW w:w="3333" w:type="dxa"/>
          </w:tcPr>
          <w:p w:rsidR="007F18EE" w:rsidRDefault="007F18EE" w:rsidP="00E5777C">
            <w:pPr>
              <w:jc w:val="both"/>
              <w:rPr>
                <w:rFonts w:ascii="Arial" w:hAnsi="Arial" w:cs="Arial"/>
                <w:sz w:val="16"/>
                <w:szCs w:val="16"/>
              </w:rPr>
            </w:pPr>
          </w:p>
          <w:p w:rsidR="008711BC" w:rsidRDefault="008711BC" w:rsidP="00E5777C">
            <w:pPr>
              <w:jc w:val="both"/>
              <w:rPr>
                <w:rFonts w:ascii="Arial" w:hAnsi="Arial" w:cs="Arial"/>
                <w:sz w:val="16"/>
                <w:szCs w:val="16"/>
              </w:rPr>
            </w:pPr>
            <w:r>
              <w:rPr>
                <w:rFonts w:ascii="Arial" w:hAnsi="Arial" w:cs="Arial"/>
                <w:sz w:val="16"/>
                <w:szCs w:val="16"/>
              </w:rPr>
              <w:t>Vesicante: daño tisular doloroso si ocurre extravasación; evitar extravasación.</w:t>
            </w:r>
          </w:p>
          <w:p w:rsidR="008711BC" w:rsidRDefault="008711BC" w:rsidP="00E5777C">
            <w:pPr>
              <w:jc w:val="both"/>
              <w:rPr>
                <w:rFonts w:ascii="Arial" w:hAnsi="Arial" w:cs="Arial"/>
                <w:sz w:val="16"/>
                <w:szCs w:val="16"/>
              </w:rPr>
            </w:pPr>
            <w:r>
              <w:rPr>
                <w:rFonts w:ascii="Arial" w:hAnsi="Arial" w:cs="Arial"/>
                <w:sz w:val="16"/>
                <w:szCs w:val="16"/>
              </w:rPr>
              <w:t>El estreñimiento es muy frecuente cuando se administra semanalmente durante varias semanas y has</w:t>
            </w:r>
            <w:r w:rsidR="00F01BB3">
              <w:rPr>
                <w:rFonts w:ascii="Arial" w:hAnsi="Arial" w:cs="Arial"/>
                <w:sz w:val="16"/>
                <w:szCs w:val="16"/>
              </w:rPr>
              <w:t>ta meses.</w:t>
            </w:r>
          </w:p>
          <w:p w:rsidR="00F01BB3" w:rsidRDefault="00F01BB3" w:rsidP="00E5777C">
            <w:pPr>
              <w:jc w:val="both"/>
              <w:rPr>
                <w:rFonts w:ascii="Arial" w:hAnsi="Arial" w:cs="Arial"/>
                <w:sz w:val="16"/>
                <w:szCs w:val="16"/>
              </w:rPr>
            </w:pPr>
            <w:r>
              <w:rPr>
                <w:rFonts w:ascii="Arial" w:hAnsi="Arial" w:cs="Arial"/>
                <w:sz w:val="16"/>
                <w:szCs w:val="16"/>
              </w:rPr>
              <w:t>Evaluar para detectar parálisis de pie caído antes de la administración.</w:t>
            </w:r>
          </w:p>
          <w:p w:rsidR="00F01BB3" w:rsidRPr="00022DD7" w:rsidRDefault="00F01BB3" w:rsidP="00E5777C">
            <w:pPr>
              <w:jc w:val="both"/>
              <w:rPr>
                <w:rFonts w:ascii="Arial" w:hAnsi="Arial" w:cs="Arial"/>
                <w:sz w:val="16"/>
                <w:szCs w:val="16"/>
              </w:rPr>
            </w:pPr>
            <w:r>
              <w:rPr>
                <w:rFonts w:ascii="Arial" w:hAnsi="Arial" w:cs="Arial"/>
                <w:sz w:val="16"/>
                <w:szCs w:val="16"/>
              </w:rPr>
              <w:t>Dosis única máxima: 2 mg independiente del área de superficie corporal y de la edad.</w:t>
            </w:r>
          </w:p>
        </w:tc>
      </w:tr>
    </w:tbl>
    <w:p w:rsidR="007F18EE" w:rsidRPr="00EE32DA" w:rsidRDefault="007F18EE" w:rsidP="007F18EE">
      <w:pPr>
        <w:jc w:val="both"/>
        <w:rPr>
          <w:rFonts w:ascii="Arial" w:hAnsi="Arial" w:cs="Arial"/>
          <w:sz w:val="24"/>
          <w:szCs w:val="24"/>
        </w:rPr>
      </w:pPr>
    </w:p>
    <w:p w:rsidR="00FB74E9" w:rsidRDefault="00FB74E9" w:rsidP="0045504C">
      <w:pPr>
        <w:jc w:val="both"/>
        <w:rPr>
          <w:rFonts w:ascii="Arial" w:hAnsi="Arial" w:cs="Arial"/>
          <w:sz w:val="24"/>
          <w:szCs w:val="24"/>
        </w:rPr>
      </w:pPr>
    </w:p>
    <w:p w:rsidR="00F01BB3" w:rsidRPr="00EE32DA" w:rsidRDefault="00F01BB3" w:rsidP="00F01BB3">
      <w:pPr>
        <w:jc w:val="both"/>
        <w:rPr>
          <w:rFonts w:ascii="Arial" w:hAnsi="Arial" w:cs="Arial"/>
          <w:sz w:val="24"/>
          <w:szCs w:val="24"/>
        </w:rPr>
      </w:pPr>
      <w:r>
        <w:rPr>
          <w:rFonts w:ascii="Arial" w:hAnsi="Arial" w:cs="Arial"/>
          <w:sz w:val="24"/>
          <w:szCs w:val="24"/>
        </w:rPr>
        <w:t>Tabla 2</w:t>
      </w:r>
      <w:r w:rsidR="00655782">
        <w:rPr>
          <w:rFonts w:ascii="Arial" w:hAnsi="Arial" w:cs="Arial"/>
          <w:sz w:val="24"/>
          <w:szCs w:val="24"/>
        </w:rPr>
        <w:t xml:space="preserve"> fármacos para cuidados paliativos</w:t>
      </w:r>
    </w:p>
    <w:p w:rsidR="00B86E28" w:rsidRDefault="00B86E28" w:rsidP="00B86E28">
      <w:pPr>
        <w:jc w:val="both"/>
        <w:rPr>
          <w:rFonts w:ascii="Arial" w:hAnsi="Arial" w:cs="Arial"/>
          <w:sz w:val="24"/>
          <w:szCs w:val="24"/>
        </w:rPr>
      </w:pPr>
    </w:p>
    <w:tbl>
      <w:tblPr>
        <w:tblStyle w:val="Tablaconcuadrcula"/>
        <w:tblW w:w="0" w:type="auto"/>
        <w:tblLayout w:type="fixed"/>
        <w:tblLook w:val="04A0" w:firstRow="1" w:lastRow="0" w:firstColumn="1" w:lastColumn="0" w:noHBand="0" w:noVBand="1"/>
      </w:tblPr>
      <w:tblGrid>
        <w:gridCol w:w="1242"/>
        <w:gridCol w:w="1418"/>
        <w:gridCol w:w="850"/>
        <w:gridCol w:w="2383"/>
        <w:gridCol w:w="7256"/>
      </w:tblGrid>
      <w:tr w:rsidR="00ED55B9" w:rsidTr="00ED55B9">
        <w:tc>
          <w:tcPr>
            <w:tcW w:w="1242" w:type="dxa"/>
          </w:tcPr>
          <w:p w:rsidR="00ED55B9" w:rsidRPr="0028732A" w:rsidRDefault="00ED55B9" w:rsidP="00864D49">
            <w:pPr>
              <w:jc w:val="both"/>
              <w:rPr>
                <w:rFonts w:ascii="Arial" w:hAnsi="Arial" w:cs="Arial"/>
                <w:sz w:val="20"/>
                <w:szCs w:val="20"/>
              </w:rPr>
            </w:pPr>
            <w:r w:rsidRPr="0028732A">
              <w:rPr>
                <w:rFonts w:ascii="Arial" w:hAnsi="Arial" w:cs="Arial"/>
                <w:sz w:val="20"/>
                <w:szCs w:val="20"/>
              </w:rPr>
              <w:t>fármaco</w:t>
            </w:r>
          </w:p>
        </w:tc>
        <w:tc>
          <w:tcPr>
            <w:tcW w:w="1418" w:type="dxa"/>
          </w:tcPr>
          <w:p w:rsidR="00ED55B9" w:rsidRPr="0028732A" w:rsidRDefault="00ED55B9" w:rsidP="00864D49">
            <w:pPr>
              <w:jc w:val="both"/>
              <w:rPr>
                <w:rFonts w:ascii="Arial" w:hAnsi="Arial" w:cs="Arial"/>
                <w:sz w:val="20"/>
                <w:szCs w:val="20"/>
              </w:rPr>
            </w:pPr>
            <w:r w:rsidRPr="0028732A">
              <w:rPr>
                <w:rFonts w:ascii="Arial" w:hAnsi="Arial" w:cs="Arial"/>
                <w:sz w:val="20"/>
                <w:szCs w:val="20"/>
              </w:rPr>
              <w:t xml:space="preserve">Clasificación </w:t>
            </w:r>
          </w:p>
        </w:tc>
        <w:tc>
          <w:tcPr>
            <w:tcW w:w="850" w:type="dxa"/>
          </w:tcPr>
          <w:p w:rsidR="00ED55B9" w:rsidRPr="0028732A" w:rsidRDefault="00ED55B9" w:rsidP="00864D49">
            <w:pPr>
              <w:jc w:val="both"/>
              <w:rPr>
                <w:rFonts w:ascii="Arial" w:hAnsi="Arial" w:cs="Arial"/>
                <w:sz w:val="20"/>
                <w:szCs w:val="20"/>
              </w:rPr>
            </w:pPr>
            <w:r w:rsidRPr="0028732A">
              <w:rPr>
                <w:rFonts w:ascii="Arial" w:hAnsi="Arial" w:cs="Arial"/>
                <w:sz w:val="20"/>
                <w:szCs w:val="20"/>
              </w:rPr>
              <w:t xml:space="preserve">Vía de </w:t>
            </w:r>
            <w:r>
              <w:rPr>
                <w:rFonts w:ascii="Arial" w:hAnsi="Arial" w:cs="Arial"/>
                <w:sz w:val="20"/>
                <w:szCs w:val="20"/>
              </w:rPr>
              <w:t>adm.</w:t>
            </w:r>
            <w:r w:rsidRPr="0028732A">
              <w:rPr>
                <w:rFonts w:ascii="Arial" w:hAnsi="Arial" w:cs="Arial"/>
                <w:sz w:val="20"/>
                <w:szCs w:val="20"/>
              </w:rPr>
              <w:t xml:space="preserve"> </w:t>
            </w:r>
          </w:p>
        </w:tc>
        <w:tc>
          <w:tcPr>
            <w:tcW w:w="2383" w:type="dxa"/>
          </w:tcPr>
          <w:p w:rsidR="00ED55B9" w:rsidRPr="0028732A" w:rsidRDefault="00ED55B9" w:rsidP="00864D49">
            <w:pPr>
              <w:jc w:val="both"/>
              <w:rPr>
                <w:rFonts w:ascii="Arial" w:hAnsi="Arial" w:cs="Arial"/>
                <w:sz w:val="20"/>
                <w:szCs w:val="20"/>
              </w:rPr>
            </w:pPr>
            <w:r w:rsidRPr="0028732A">
              <w:rPr>
                <w:rFonts w:ascii="Arial" w:hAnsi="Arial" w:cs="Arial"/>
                <w:sz w:val="20"/>
                <w:szCs w:val="20"/>
              </w:rPr>
              <w:t>Efectos secundarios</w:t>
            </w:r>
          </w:p>
        </w:tc>
        <w:tc>
          <w:tcPr>
            <w:tcW w:w="7256" w:type="dxa"/>
          </w:tcPr>
          <w:p w:rsidR="00ED55B9" w:rsidRPr="0028732A" w:rsidRDefault="00ED55B9" w:rsidP="00864D49">
            <w:pPr>
              <w:jc w:val="both"/>
              <w:rPr>
                <w:rFonts w:ascii="Arial" w:hAnsi="Arial" w:cs="Arial"/>
                <w:sz w:val="20"/>
                <w:szCs w:val="20"/>
              </w:rPr>
            </w:pPr>
            <w:r w:rsidRPr="0028732A">
              <w:rPr>
                <w:rFonts w:ascii="Arial" w:hAnsi="Arial" w:cs="Arial"/>
                <w:sz w:val="20"/>
                <w:szCs w:val="20"/>
              </w:rPr>
              <w:t>Consideraciones especiales</w:t>
            </w:r>
          </w:p>
        </w:tc>
      </w:tr>
      <w:tr w:rsidR="00ED55B9" w:rsidTr="00ED55B9">
        <w:tc>
          <w:tcPr>
            <w:tcW w:w="1242" w:type="dxa"/>
          </w:tcPr>
          <w:p w:rsidR="00ED55B9" w:rsidRDefault="00ED55B9" w:rsidP="00864D49">
            <w:pPr>
              <w:jc w:val="both"/>
              <w:rPr>
                <w:rFonts w:ascii="Arial" w:hAnsi="Arial" w:cs="Arial"/>
                <w:sz w:val="16"/>
                <w:szCs w:val="16"/>
              </w:rPr>
            </w:pPr>
          </w:p>
          <w:p w:rsidR="00ED55B9" w:rsidRDefault="00ED55B9" w:rsidP="00864D49">
            <w:pPr>
              <w:jc w:val="both"/>
              <w:rPr>
                <w:rFonts w:ascii="Arial" w:hAnsi="Arial" w:cs="Arial"/>
                <w:sz w:val="16"/>
                <w:szCs w:val="16"/>
              </w:rPr>
            </w:pPr>
            <w:r>
              <w:rPr>
                <w:rFonts w:ascii="Arial" w:hAnsi="Arial" w:cs="Arial"/>
                <w:sz w:val="16"/>
                <w:szCs w:val="16"/>
              </w:rPr>
              <w:t xml:space="preserve">Alopurinol </w:t>
            </w:r>
          </w:p>
          <w:p w:rsidR="00ED55B9" w:rsidRPr="00035BF7" w:rsidRDefault="00ED55B9" w:rsidP="00864D49">
            <w:pPr>
              <w:jc w:val="both"/>
              <w:rPr>
                <w:rFonts w:ascii="Arial" w:hAnsi="Arial" w:cs="Arial"/>
                <w:sz w:val="16"/>
                <w:szCs w:val="16"/>
              </w:rPr>
            </w:pPr>
            <w:r>
              <w:rPr>
                <w:rFonts w:ascii="Arial" w:hAnsi="Arial" w:cs="Arial"/>
                <w:sz w:val="16"/>
                <w:szCs w:val="16"/>
              </w:rPr>
              <w:t>(Zyloprim)</w:t>
            </w:r>
          </w:p>
        </w:tc>
        <w:tc>
          <w:tcPr>
            <w:tcW w:w="1418" w:type="dxa"/>
          </w:tcPr>
          <w:p w:rsidR="00ED55B9" w:rsidRDefault="00ED55B9" w:rsidP="00864D49">
            <w:pPr>
              <w:jc w:val="both"/>
              <w:rPr>
                <w:rFonts w:ascii="Arial" w:hAnsi="Arial" w:cs="Arial"/>
                <w:sz w:val="16"/>
                <w:szCs w:val="16"/>
              </w:rPr>
            </w:pPr>
          </w:p>
          <w:p w:rsidR="00ED55B9" w:rsidRPr="00035BF7" w:rsidRDefault="00ED55B9" w:rsidP="00864D49">
            <w:pPr>
              <w:jc w:val="both"/>
              <w:rPr>
                <w:rFonts w:ascii="Arial" w:hAnsi="Arial" w:cs="Arial"/>
                <w:sz w:val="16"/>
                <w:szCs w:val="16"/>
              </w:rPr>
            </w:pPr>
            <w:r>
              <w:rPr>
                <w:rFonts w:ascii="Arial" w:hAnsi="Arial" w:cs="Arial"/>
                <w:sz w:val="16"/>
                <w:szCs w:val="16"/>
              </w:rPr>
              <w:t>Inhibidos de la xantina oxidasa</w:t>
            </w:r>
          </w:p>
        </w:tc>
        <w:tc>
          <w:tcPr>
            <w:tcW w:w="850" w:type="dxa"/>
          </w:tcPr>
          <w:p w:rsidR="00ED55B9" w:rsidRDefault="00ED55B9" w:rsidP="00864D49">
            <w:pPr>
              <w:jc w:val="both"/>
              <w:rPr>
                <w:rFonts w:ascii="Arial" w:hAnsi="Arial" w:cs="Arial"/>
                <w:sz w:val="16"/>
                <w:szCs w:val="16"/>
              </w:rPr>
            </w:pPr>
          </w:p>
          <w:p w:rsidR="00ED55B9" w:rsidRDefault="00ED55B9" w:rsidP="00864D49">
            <w:pPr>
              <w:jc w:val="both"/>
              <w:rPr>
                <w:rFonts w:ascii="Arial" w:hAnsi="Arial" w:cs="Arial"/>
                <w:sz w:val="16"/>
                <w:szCs w:val="16"/>
              </w:rPr>
            </w:pPr>
            <w:r>
              <w:rPr>
                <w:rFonts w:ascii="Arial" w:hAnsi="Arial" w:cs="Arial"/>
                <w:sz w:val="16"/>
                <w:szCs w:val="16"/>
              </w:rPr>
              <w:t>IV</w:t>
            </w:r>
          </w:p>
          <w:p w:rsidR="00ED55B9" w:rsidRPr="00035BF7" w:rsidRDefault="00ED55B9" w:rsidP="00864D49">
            <w:pPr>
              <w:jc w:val="both"/>
              <w:rPr>
                <w:rFonts w:ascii="Arial" w:hAnsi="Arial" w:cs="Arial"/>
                <w:sz w:val="16"/>
                <w:szCs w:val="16"/>
              </w:rPr>
            </w:pPr>
            <w:r>
              <w:rPr>
                <w:rFonts w:ascii="Arial" w:hAnsi="Arial" w:cs="Arial"/>
                <w:sz w:val="16"/>
                <w:szCs w:val="16"/>
              </w:rPr>
              <w:t>Oral</w:t>
            </w:r>
          </w:p>
        </w:tc>
        <w:tc>
          <w:tcPr>
            <w:tcW w:w="2383" w:type="dxa"/>
          </w:tcPr>
          <w:p w:rsidR="00ED55B9" w:rsidRDefault="00ED55B9" w:rsidP="00864D49">
            <w:pPr>
              <w:jc w:val="both"/>
              <w:rPr>
                <w:rFonts w:ascii="Arial" w:hAnsi="Arial" w:cs="Arial"/>
                <w:sz w:val="16"/>
                <w:szCs w:val="16"/>
              </w:rPr>
            </w:pPr>
          </w:p>
          <w:p w:rsidR="00ED55B9" w:rsidRDefault="00ED55B9" w:rsidP="00864D49">
            <w:pPr>
              <w:jc w:val="both"/>
              <w:rPr>
                <w:rFonts w:ascii="Arial" w:hAnsi="Arial" w:cs="Arial"/>
                <w:sz w:val="16"/>
                <w:szCs w:val="16"/>
              </w:rPr>
            </w:pPr>
            <w:r>
              <w:rPr>
                <w:rFonts w:ascii="Arial" w:hAnsi="Arial" w:cs="Arial"/>
                <w:sz w:val="16"/>
                <w:szCs w:val="16"/>
              </w:rPr>
              <w:t>Frecuentes: erupción, fiebre.</w:t>
            </w:r>
          </w:p>
          <w:p w:rsidR="00ED55B9" w:rsidRDefault="00ED55B9" w:rsidP="00864D49">
            <w:pPr>
              <w:jc w:val="both"/>
              <w:rPr>
                <w:rFonts w:ascii="Arial" w:hAnsi="Arial" w:cs="Arial"/>
                <w:sz w:val="16"/>
                <w:szCs w:val="16"/>
              </w:rPr>
            </w:pPr>
            <w:r>
              <w:rPr>
                <w:rFonts w:ascii="Arial" w:hAnsi="Arial" w:cs="Arial"/>
                <w:sz w:val="16"/>
                <w:szCs w:val="16"/>
              </w:rPr>
              <w:t>Ocasionales: hepatitis granulomatosa, lesiones oculares, alopecia, mielosupresión, somnolencia, neuropatía periférica, síntomas gastrointestinales (GI).</w:t>
            </w:r>
          </w:p>
          <w:p w:rsidR="00ED55B9" w:rsidRDefault="00ED55B9" w:rsidP="00864D49">
            <w:pPr>
              <w:jc w:val="both"/>
              <w:rPr>
                <w:rFonts w:ascii="Arial" w:hAnsi="Arial" w:cs="Arial"/>
                <w:sz w:val="16"/>
                <w:szCs w:val="16"/>
              </w:rPr>
            </w:pPr>
            <w:r>
              <w:rPr>
                <w:rFonts w:ascii="Arial" w:hAnsi="Arial" w:cs="Arial"/>
                <w:sz w:val="16"/>
                <w:szCs w:val="16"/>
              </w:rPr>
              <w:t>Raros: agranulocitosis, necrólisis epidérmica tóxica,</w:t>
            </w:r>
          </w:p>
          <w:p w:rsidR="00ED55B9" w:rsidRDefault="00ED55B9" w:rsidP="00864D49">
            <w:pPr>
              <w:jc w:val="both"/>
              <w:rPr>
                <w:rFonts w:ascii="Arial" w:hAnsi="Arial" w:cs="Arial"/>
                <w:sz w:val="16"/>
                <w:szCs w:val="16"/>
              </w:rPr>
            </w:pPr>
            <w:proofErr w:type="gramStart"/>
            <w:r>
              <w:rPr>
                <w:rFonts w:ascii="Arial" w:hAnsi="Arial" w:cs="Arial"/>
                <w:sz w:val="16"/>
                <w:szCs w:val="16"/>
              </w:rPr>
              <w:t>vasculitis</w:t>
            </w:r>
            <w:proofErr w:type="gramEnd"/>
            <w:r>
              <w:rPr>
                <w:rFonts w:ascii="Arial" w:hAnsi="Arial" w:cs="Arial"/>
                <w:sz w:val="16"/>
                <w:szCs w:val="16"/>
              </w:rPr>
              <w:t xml:space="preserve"> sistémica severa, dermatitis exfoliativa. </w:t>
            </w:r>
          </w:p>
          <w:p w:rsidR="00ED55B9" w:rsidRPr="00035BF7" w:rsidRDefault="00ED55B9" w:rsidP="00864D49">
            <w:pPr>
              <w:jc w:val="both"/>
              <w:rPr>
                <w:rFonts w:ascii="Arial" w:hAnsi="Arial" w:cs="Arial"/>
                <w:sz w:val="16"/>
                <w:szCs w:val="16"/>
              </w:rPr>
            </w:pPr>
          </w:p>
        </w:tc>
        <w:tc>
          <w:tcPr>
            <w:tcW w:w="7256" w:type="dxa"/>
          </w:tcPr>
          <w:p w:rsidR="00ED55B9" w:rsidRDefault="00ED55B9" w:rsidP="00864D49">
            <w:pPr>
              <w:jc w:val="both"/>
              <w:rPr>
                <w:rFonts w:ascii="Arial" w:hAnsi="Arial" w:cs="Arial"/>
                <w:sz w:val="16"/>
                <w:szCs w:val="16"/>
              </w:rPr>
            </w:pPr>
          </w:p>
          <w:p w:rsidR="00ED55B9" w:rsidRDefault="00ED55B9" w:rsidP="00864D49">
            <w:pPr>
              <w:jc w:val="both"/>
              <w:rPr>
                <w:rFonts w:ascii="Arial" w:hAnsi="Arial" w:cs="Arial"/>
                <w:sz w:val="16"/>
                <w:szCs w:val="16"/>
              </w:rPr>
            </w:pPr>
            <w:r>
              <w:rPr>
                <w:rFonts w:ascii="Arial" w:hAnsi="Arial" w:cs="Arial"/>
                <w:sz w:val="16"/>
                <w:szCs w:val="16"/>
              </w:rPr>
              <w:t>Se requiere la reducción de la dosis en casos moderados a severos de deterioro renal.</w:t>
            </w:r>
          </w:p>
          <w:p w:rsidR="00ED55B9" w:rsidRDefault="00ED55B9" w:rsidP="00864D49">
            <w:pPr>
              <w:jc w:val="both"/>
              <w:rPr>
                <w:rFonts w:ascii="Arial" w:hAnsi="Arial" w:cs="Arial"/>
                <w:sz w:val="16"/>
                <w:szCs w:val="16"/>
              </w:rPr>
            </w:pPr>
            <w:r>
              <w:rPr>
                <w:rFonts w:ascii="Arial" w:hAnsi="Arial" w:cs="Arial"/>
                <w:sz w:val="16"/>
                <w:szCs w:val="16"/>
              </w:rPr>
              <w:t>Es posible que ocurran mayores toxicidades cuando se usa con 6-MP o azatioprina;</w:t>
            </w:r>
            <w:r w:rsidR="00655782">
              <w:rPr>
                <w:rFonts w:ascii="Arial" w:hAnsi="Arial" w:cs="Arial"/>
                <w:sz w:val="16"/>
                <w:szCs w:val="16"/>
              </w:rPr>
              <w:t xml:space="preserve"> usar con cautela ciclofosfamida, warfarina, fármacos hipoglucemiantes orales, ampicilina, amoxicilina o diuréticos tiazídicos.</w:t>
            </w:r>
          </w:p>
          <w:p w:rsidR="00655782" w:rsidRDefault="00655782" w:rsidP="00864D49">
            <w:pPr>
              <w:jc w:val="both"/>
              <w:rPr>
                <w:rFonts w:ascii="Arial" w:hAnsi="Arial" w:cs="Arial"/>
                <w:sz w:val="16"/>
                <w:szCs w:val="16"/>
              </w:rPr>
            </w:pPr>
            <w:r>
              <w:rPr>
                <w:rFonts w:ascii="Arial" w:hAnsi="Arial" w:cs="Arial"/>
                <w:sz w:val="16"/>
                <w:szCs w:val="16"/>
              </w:rPr>
              <w:t>Se necesita hidratación adecuada.</w:t>
            </w:r>
          </w:p>
          <w:p w:rsidR="00655782" w:rsidRPr="00035BF7" w:rsidRDefault="00655782" w:rsidP="00864D49">
            <w:pPr>
              <w:jc w:val="both"/>
              <w:rPr>
                <w:rFonts w:ascii="Arial" w:hAnsi="Arial" w:cs="Arial"/>
                <w:sz w:val="16"/>
                <w:szCs w:val="16"/>
              </w:rPr>
            </w:pPr>
            <w:r>
              <w:rPr>
                <w:rFonts w:ascii="Arial" w:hAnsi="Arial" w:cs="Arial"/>
                <w:sz w:val="16"/>
                <w:szCs w:val="16"/>
              </w:rPr>
              <w:t>Incompatible con el metotrexato; no administrar en el mismo líquido IV.</w:t>
            </w:r>
          </w:p>
        </w:tc>
      </w:tr>
      <w:tr w:rsidR="00ED55B9" w:rsidTr="00ED55B9">
        <w:tc>
          <w:tcPr>
            <w:tcW w:w="1242" w:type="dxa"/>
          </w:tcPr>
          <w:p w:rsidR="00ED55B9" w:rsidRDefault="00ED55B9" w:rsidP="00864D49">
            <w:pPr>
              <w:jc w:val="both"/>
              <w:rPr>
                <w:rFonts w:ascii="Arial" w:hAnsi="Arial" w:cs="Arial"/>
                <w:sz w:val="16"/>
                <w:szCs w:val="16"/>
              </w:rPr>
            </w:pPr>
          </w:p>
          <w:p w:rsidR="00655782" w:rsidRPr="00035BF7" w:rsidRDefault="00655782" w:rsidP="00864D49">
            <w:pPr>
              <w:jc w:val="both"/>
              <w:rPr>
                <w:rFonts w:ascii="Arial" w:hAnsi="Arial" w:cs="Arial"/>
                <w:sz w:val="16"/>
                <w:szCs w:val="16"/>
              </w:rPr>
            </w:pPr>
            <w:r>
              <w:rPr>
                <w:rFonts w:ascii="Arial" w:hAnsi="Arial" w:cs="Arial"/>
                <w:sz w:val="16"/>
                <w:szCs w:val="16"/>
              </w:rPr>
              <w:t xml:space="preserve">Amifostina (Ethyol) </w:t>
            </w:r>
          </w:p>
        </w:tc>
        <w:tc>
          <w:tcPr>
            <w:tcW w:w="1418" w:type="dxa"/>
          </w:tcPr>
          <w:p w:rsidR="00ED55B9" w:rsidRDefault="00ED55B9" w:rsidP="00864D49">
            <w:pPr>
              <w:jc w:val="both"/>
              <w:rPr>
                <w:rFonts w:ascii="Arial" w:hAnsi="Arial" w:cs="Arial"/>
                <w:sz w:val="16"/>
                <w:szCs w:val="16"/>
              </w:rPr>
            </w:pPr>
          </w:p>
          <w:p w:rsidR="00655782" w:rsidRPr="00035BF7" w:rsidRDefault="00655782" w:rsidP="00864D49">
            <w:pPr>
              <w:jc w:val="both"/>
              <w:rPr>
                <w:rFonts w:ascii="Arial" w:hAnsi="Arial" w:cs="Arial"/>
                <w:sz w:val="16"/>
                <w:szCs w:val="16"/>
              </w:rPr>
            </w:pPr>
            <w:r>
              <w:rPr>
                <w:rFonts w:ascii="Arial" w:hAnsi="Arial" w:cs="Arial"/>
                <w:sz w:val="16"/>
                <w:szCs w:val="16"/>
              </w:rPr>
              <w:t>Citoprotector, adyuvante</w:t>
            </w:r>
          </w:p>
        </w:tc>
        <w:tc>
          <w:tcPr>
            <w:tcW w:w="850" w:type="dxa"/>
          </w:tcPr>
          <w:p w:rsidR="00ED55B9" w:rsidRDefault="00ED55B9" w:rsidP="00864D49">
            <w:pPr>
              <w:jc w:val="both"/>
              <w:rPr>
                <w:rFonts w:ascii="Arial" w:hAnsi="Arial" w:cs="Arial"/>
                <w:sz w:val="16"/>
                <w:szCs w:val="16"/>
              </w:rPr>
            </w:pPr>
          </w:p>
          <w:p w:rsidR="00655782" w:rsidRPr="00035BF7" w:rsidRDefault="00655782" w:rsidP="00864D49">
            <w:pPr>
              <w:jc w:val="both"/>
              <w:rPr>
                <w:rFonts w:ascii="Arial" w:hAnsi="Arial" w:cs="Arial"/>
                <w:sz w:val="16"/>
                <w:szCs w:val="16"/>
              </w:rPr>
            </w:pPr>
            <w:r>
              <w:rPr>
                <w:rFonts w:ascii="Arial" w:hAnsi="Arial" w:cs="Arial"/>
                <w:sz w:val="16"/>
                <w:szCs w:val="16"/>
              </w:rPr>
              <w:t>IV</w:t>
            </w:r>
          </w:p>
        </w:tc>
        <w:tc>
          <w:tcPr>
            <w:tcW w:w="2383" w:type="dxa"/>
          </w:tcPr>
          <w:p w:rsidR="00ED55B9" w:rsidRDefault="00ED55B9" w:rsidP="00864D49">
            <w:pPr>
              <w:jc w:val="both"/>
              <w:rPr>
                <w:rFonts w:ascii="Arial" w:hAnsi="Arial" w:cs="Arial"/>
                <w:sz w:val="16"/>
                <w:szCs w:val="16"/>
              </w:rPr>
            </w:pPr>
          </w:p>
          <w:p w:rsidR="00A349A1" w:rsidRDefault="00655782" w:rsidP="00864D49">
            <w:pPr>
              <w:jc w:val="both"/>
              <w:rPr>
                <w:rFonts w:ascii="Arial" w:hAnsi="Arial" w:cs="Arial"/>
                <w:sz w:val="16"/>
                <w:szCs w:val="16"/>
              </w:rPr>
            </w:pPr>
            <w:r>
              <w:rPr>
                <w:rFonts w:ascii="Arial" w:hAnsi="Arial" w:cs="Arial"/>
                <w:sz w:val="16"/>
                <w:szCs w:val="16"/>
              </w:rPr>
              <w:t>Frecuentes: náuseas, vómito, rubor, hipotensión, hipocalcemia (con dosis múltiple</w:t>
            </w:r>
            <w:r w:rsidR="00A349A1">
              <w:rPr>
                <w:rFonts w:ascii="Arial" w:hAnsi="Arial" w:cs="Arial"/>
                <w:sz w:val="16"/>
                <w:szCs w:val="16"/>
              </w:rPr>
              <w:t>s diarias o durante varios días).</w:t>
            </w:r>
          </w:p>
          <w:p w:rsidR="00A349A1" w:rsidRDefault="00A349A1" w:rsidP="00864D49">
            <w:pPr>
              <w:jc w:val="both"/>
              <w:rPr>
                <w:rFonts w:ascii="Arial" w:hAnsi="Arial" w:cs="Arial"/>
                <w:sz w:val="16"/>
                <w:szCs w:val="16"/>
              </w:rPr>
            </w:pPr>
            <w:r>
              <w:rPr>
                <w:rFonts w:ascii="Arial" w:hAnsi="Arial" w:cs="Arial"/>
                <w:sz w:val="16"/>
                <w:szCs w:val="16"/>
              </w:rPr>
              <w:t>Ocasionales: somnolencia, mareos, estornudos.</w:t>
            </w:r>
          </w:p>
          <w:p w:rsidR="00A349A1" w:rsidRPr="00035BF7" w:rsidRDefault="00A349A1" w:rsidP="00864D49">
            <w:pPr>
              <w:jc w:val="both"/>
              <w:rPr>
                <w:rFonts w:ascii="Arial" w:hAnsi="Arial" w:cs="Arial"/>
                <w:sz w:val="16"/>
                <w:szCs w:val="16"/>
              </w:rPr>
            </w:pPr>
            <w:r>
              <w:rPr>
                <w:rFonts w:ascii="Arial" w:hAnsi="Arial" w:cs="Arial"/>
                <w:sz w:val="16"/>
                <w:szCs w:val="16"/>
              </w:rPr>
              <w:t>Raros: hipo, escalofríos.</w:t>
            </w:r>
          </w:p>
        </w:tc>
        <w:tc>
          <w:tcPr>
            <w:tcW w:w="7256" w:type="dxa"/>
          </w:tcPr>
          <w:p w:rsidR="00ED55B9" w:rsidRDefault="00ED55B9" w:rsidP="00864D49">
            <w:pPr>
              <w:jc w:val="both"/>
              <w:rPr>
                <w:rFonts w:ascii="Arial" w:hAnsi="Arial" w:cs="Arial"/>
                <w:sz w:val="16"/>
                <w:szCs w:val="16"/>
              </w:rPr>
            </w:pPr>
          </w:p>
          <w:p w:rsidR="00A349A1" w:rsidRDefault="00A349A1" w:rsidP="00864D49">
            <w:pPr>
              <w:jc w:val="both"/>
              <w:rPr>
                <w:rFonts w:ascii="Arial" w:hAnsi="Arial" w:cs="Arial"/>
                <w:sz w:val="16"/>
                <w:szCs w:val="16"/>
              </w:rPr>
            </w:pPr>
            <w:r>
              <w:rPr>
                <w:rFonts w:ascii="Arial" w:hAnsi="Arial" w:cs="Arial"/>
                <w:sz w:val="16"/>
                <w:szCs w:val="16"/>
              </w:rPr>
              <w:t>Si se administrarán dosis múltiples de Amifostina durante un lapso de 24 horas, monitorear los niveles de calcio en suero y administrar los suplementos según se requiera.}</w:t>
            </w:r>
          </w:p>
          <w:p w:rsidR="00A349A1" w:rsidRDefault="00A349A1" w:rsidP="00864D49">
            <w:pPr>
              <w:jc w:val="both"/>
              <w:rPr>
                <w:rFonts w:ascii="Arial" w:hAnsi="Arial" w:cs="Arial"/>
                <w:sz w:val="16"/>
                <w:szCs w:val="16"/>
              </w:rPr>
            </w:pPr>
            <w:r>
              <w:rPr>
                <w:rFonts w:ascii="Arial" w:hAnsi="Arial" w:cs="Arial"/>
                <w:sz w:val="16"/>
                <w:szCs w:val="16"/>
              </w:rPr>
              <w:t>Administrar con el paciente acostado.</w:t>
            </w:r>
          </w:p>
          <w:p w:rsidR="00A349A1" w:rsidRDefault="00A349A1" w:rsidP="00864D49">
            <w:pPr>
              <w:jc w:val="both"/>
              <w:rPr>
                <w:rFonts w:ascii="Arial" w:hAnsi="Arial" w:cs="Arial"/>
                <w:sz w:val="16"/>
                <w:szCs w:val="16"/>
              </w:rPr>
            </w:pPr>
            <w:r>
              <w:rPr>
                <w:rFonts w:ascii="Arial" w:hAnsi="Arial" w:cs="Arial"/>
                <w:sz w:val="16"/>
                <w:szCs w:val="16"/>
              </w:rPr>
              <w:t xml:space="preserve">Tener bolo de solución salina a la cabecera del paciente. </w:t>
            </w:r>
          </w:p>
          <w:p w:rsidR="00A349A1" w:rsidRDefault="00A349A1" w:rsidP="00864D49">
            <w:pPr>
              <w:jc w:val="both"/>
              <w:rPr>
                <w:rFonts w:ascii="Arial" w:hAnsi="Arial" w:cs="Arial"/>
                <w:sz w:val="16"/>
                <w:szCs w:val="16"/>
              </w:rPr>
            </w:pPr>
            <w:r>
              <w:rPr>
                <w:rFonts w:ascii="Arial" w:hAnsi="Arial" w:cs="Arial"/>
                <w:sz w:val="16"/>
                <w:szCs w:val="16"/>
              </w:rPr>
              <w:t>Monitorear la presión del paciente con frecuencia durante la infusión.</w:t>
            </w:r>
          </w:p>
          <w:p w:rsidR="00A349A1" w:rsidRDefault="00A349A1" w:rsidP="00864D49">
            <w:pPr>
              <w:jc w:val="both"/>
              <w:rPr>
                <w:rFonts w:ascii="Arial" w:hAnsi="Arial" w:cs="Arial"/>
                <w:sz w:val="16"/>
                <w:szCs w:val="16"/>
              </w:rPr>
            </w:pPr>
            <w:r>
              <w:rPr>
                <w:rFonts w:ascii="Arial" w:hAnsi="Arial" w:cs="Arial"/>
                <w:sz w:val="16"/>
                <w:szCs w:val="16"/>
              </w:rPr>
              <w:t>La hipotensión se presenta con frecuencia hacia el final de la infusión.</w:t>
            </w:r>
          </w:p>
          <w:p w:rsidR="00A349A1" w:rsidRDefault="00A349A1" w:rsidP="00864D49">
            <w:pPr>
              <w:jc w:val="both"/>
              <w:rPr>
                <w:rFonts w:ascii="Arial" w:hAnsi="Arial" w:cs="Arial"/>
                <w:sz w:val="16"/>
                <w:szCs w:val="16"/>
              </w:rPr>
            </w:pPr>
            <w:r>
              <w:rPr>
                <w:rFonts w:ascii="Arial" w:hAnsi="Arial" w:cs="Arial"/>
                <w:sz w:val="16"/>
                <w:szCs w:val="16"/>
              </w:rPr>
              <w:t>En caso de hipotensión, colocar al paciente en la posición de trendelemburg y administrar solución salina normal en bolo (20 ml/kg en un periodo de 20 minutos</w:t>
            </w:r>
            <w:r w:rsidR="002257C4">
              <w:rPr>
                <w:rFonts w:ascii="Arial" w:hAnsi="Arial" w:cs="Arial"/>
                <w:sz w:val="16"/>
                <w:szCs w:val="16"/>
              </w:rPr>
              <w:t>).</w:t>
            </w:r>
          </w:p>
          <w:p w:rsidR="002257C4" w:rsidRDefault="002257C4" w:rsidP="00864D49">
            <w:pPr>
              <w:jc w:val="both"/>
              <w:rPr>
                <w:rFonts w:ascii="Arial" w:hAnsi="Arial" w:cs="Arial"/>
                <w:sz w:val="16"/>
                <w:szCs w:val="16"/>
              </w:rPr>
            </w:pPr>
            <w:r>
              <w:rPr>
                <w:rFonts w:ascii="Arial" w:hAnsi="Arial" w:cs="Arial"/>
                <w:sz w:val="16"/>
                <w:szCs w:val="16"/>
              </w:rPr>
              <w:t>Es posible reanudar la infusión si la presión arterial se normaliza.</w:t>
            </w:r>
          </w:p>
          <w:p w:rsidR="002257C4" w:rsidRDefault="002257C4" w:rsidP="00864D49">
            <w:pPr>
              <w:jc w:val="both"/>
              <w:rPr>
                <w:rFonts w:ascii="Arial" w:hAnsi="Arial" w:cs="Arial"/>
                <w:sz w:val="16"/>
                <w:szCs w:val="16"/>
              </w:rPr>
            </w:pPr>
            <w:r>
              <w:rPr>
                <w:rFonts w:ascii="Arial" w:hAnsi="Arial" w:cs="Arial"/>
                <w:sz w:val="16"/>
                <w:szCs w:val="16"/>
              </w:rPr>
              <w:t>Las dosis se administran inmediatamente después de la radioterapia o la quimioterapia.</w:t>
            </w:r>
          </w:p>
          <w:p w:rsidR="002257C4" w:rsidRDefault="002257C4" w:rsidP="00864D49">
            <w:pPr>
              <w:jc w:val="both"/>
              <w:rPr>
                <w:rFonts w:ascii="Arial" w:hAnsi="Arial" w:cs="Arial"/>
                <w:sz w:val="16"/>
                <w:szCs w:val="16"/>
              </w:rPr>
            </w:pPr>
            <w:r>
              <w:rPr>
                <w:rFonts w:ascii="Arial" w:hAnsi="Arial" w:cs="Arial"/>
                <w:sz w:val="16"/>
                <w:szCs w:val="16"/>
              </w:rPr>
              <w:t>Inspeccionar las soluciones parenterales para detectar partículas o cambios de color.</w:t>
            </w:r>
          </w:p>
          <w:p w:rsidR="002257C4" w:rsidRDefault="002257C4" w:rsidP="00864D49">
            <w:pPr>
              <w:jc w:val="both"/>
              <w:rPr>
                <w:rFonts w:ascii="Arial" w:hAnsi="Arial" w:cs="Arial"/>
                <w:sz w:val="16"/>
                <w:szCs w:val="16"/>
              </w:rPr>
            </w:pPr>
            <w:r>
              <w:rPr>
                <w:rFonts w:ascii="Arial" w:hAnsi="Arial" w:cs="Arial"/>
                <w:sz w:val="16"/>
                <w:szCs w:val="16"/>
              </w:rPr>
              <w:t>No usar si se observa turbidez o precipitados.</w:t>
            </w:r>
          </w:p>
          <w:p w:rsidR="002257C4" w:rsidRDefault="002257C4" w:rsidP="00864D49">
            <w:pPr>
              <w:jc w:val="both"/>
              <w:rPr>
                <w:rFonts w:ascii="Arial" w:hAnsi="Arial" w:cs="Arial"/>
                <w:sz w:val="16"/>
                <w:szCs w:val="16"/>
              </w:rPr>
            </w:pPr>
            <w:r>
              <w:rPr>
                <w:rFonts w:ascii="Arial" w:hAnsi="Arial" w:cs="Arial"/>
                <w:sz w:val="16"/>
                <w:szCs w:val="16"/>
              </w:rPr>
              <w:t xml:space="preserve">Usar solo con soluciones salinas normales. No se ha examinado la compatibilidad con otras soluciones. </w:t>
            </w:r>
          </w:p>
          <w:p w:rsidR="00A349A1" w:rsidRDefault="00A349A1" w:rsidP="00864D49">
            <w:pPr>
              <w:jc w:val="both"/>
              <w:rPr>
                <w:rFonts w:ascii="Arial" w:hAnsi="Arial" w:cs="Arial"/>
                <w:sz w:val="16"/>
                <w:szCs w:val="16"/>
              </w:rPr>
            </w:pPr>
          </w:p>
          <w:p w:rsidR="00A349A1" w:rsidRPr="00035BF7" w:rsidRDefault="00A349A1" w:rsidP="00864D49">
            <w:pPr>
              <w:jc w:val="both"/>
              <w:rPr>
                <w:rFonts w:ascii="Arial" w:hAnsi="Arial" w:cs="Arial"/>
                <w:sz w:val="16"/>
                <w:szCs w:val="16"/>
              </w:rPr>
            </w:pPr>
          </w:p>
        </w:tc>
      </w:tr>
    </w:tbl>
    <w:p w:rsidR="00B86E28" w:rsidRDefault="00B86E28" w:rsidP="00B86E28">
      <w:pPr>
        <w:jc w:val="both"/>
        <w:rPr>
          <w:rFonts w:ascii="Arial" w:hAnsi="Arial" w:cs="Arial"/>
          <w:sz w:val="24"/>
          <w:szCs w:val="24"/>
        </w:rPr>
      </w:pPr>
    </w:p>
    <w:p w:rsidR="002257C4" w:rsidRDefault="002257C4" w:rsidP="00B86E28">
      <w:pPr>
        <w:jc w:val="both"/>
        <w:rPr>
          <w:rFonts w:ascii="Arial" w:hAnsi="Arial" w:cs="Arial"/>
          <w:sz w:val="24"/>
          <w:szCs w:val="24"/>
        </w:rPr>
      </w:pPr>
    </w:p>
    <w:p w:rsidR="002257C4" w:rsidRPr="00EE32DA" w:rsidRDefault="002257C4" w:rsidP="002257C4">
      <w:pPr>
        <w:jc w:val="both"/>
        <w:rPr>
          <w:rFonts w:ascii="Arial" w:hAnsi="Arial" w:cs="Arial"/>
          <w:sz w:val="24"/>
          <w:szCs w:val="24"/>
        </w:rPr>
      </w:pPr>
      <w:r>
        <w:rPr>
          <w:rFonts w:ascii="Arial" w:hAnsi="Arial" w:cs="Arial"/>
          <w:sz w:val="24"/>
          <w:szCs w:val="24"/>
        </w:rPr>
        <w:lastRenderedPageBreak/>
        <w:t>Tabla 2 fármacos para cuidados paliativos</w:t>
      </w:r>
    </w:p>
    <w:p w:rsidR="002257C4" w:rsidRDefault="002257C4" w:rsidP="00B86E28">
      <w:pPr>
        <w:jc w:val="both"/>
        <w:rPr>
          <w:rFonts w:ascii="Arial" w:hAnsi="Arial" w:cs="Arial"/>
          <w:sz w:val="24"/>
          <w:szCs w:val="24"/>
        </w:rPr>
      </w:pPr>
    </w:p>
    <w:tbl>
      <w:tblPr>
        <w:tblStyle w:val="Tablaconcuadrcula"/>
        <w:tblW w:w="0" w:type="auto"/>
        <w:tblLook w:val="04A0" w:firstRow="1" w:lastRow="0" w:firstColumn="1" w:lastColumn="0" w:noHBand="0" w:noVBand="1"/>
      </w:tblPr>
      <w:tblGrid>
        <w:gridCol w:w="1242"/>
        <w:gridCol w:w="1418"/>
        <w:gridCol w:w="850"/>
        <w:gridCol w:w="2410"/>
        <w:gridCol w:w="7226"/>
      </w:tblGrid>
      <w:tr w:rsidR="002257C4" w:rsidTr="002257C4">
        <w:tc>
          <w:tcPr>
            <w:tcW w:w="1242" w:type="dxa"/>
          </w:tcPr>
          <w:p w:rsidR="002257C4" w:rsidRPr="0028732A" w:rsidRDefault="002257C4" w:rsidP="00E5777C">
            <w:pPr>
              <w:jc w:val="both"/>
              <w:rPr>
                <w:rFonts w:ascii="Arial" w:hAnsi="Arial" w:cs="Arial"/>
                <w:sz w:val="20"/>
                <w:szCs w:val="20"/>
              </w:rPr>
            </w:pPr>
            <w:r w:rsidRPr="0028732A">
              <w:rPr>
                <w:rFonts w:ascii="Arial" w:hAnsi="Arial" w:cs="Arial"/>
                <w:sz w:val="20"/>
                <w:szCs w:val="20"/>
              </w:rPr>
              <w:t>fármaco</w:t>
            </w:r>
          </w:p>
        </w:tc>
        <w:tc>
          <w:tcPr>
            <w:tcW w:w="1418" w:type="dxa"/>
          </w:tcPr>
          <w:p w:rsidR="002257C4" w:rsidRPr="0028732A" w:rsidRDefault="002257C4" w:rsidP="00E5777C">
            <w:pPr>
              <w:jc w:val="both"/>
              <w:rPr>
                <w:rFonts w:ascii="Arial" w:hAnsi="Arial" w:cs="Arial"/>
                <w:sz w:val="20"/>
                <w:szCs w:val="20"/>
              </w:rPr>
            </w:pPr>
            <w:r w:rsidRPr="0028732A">
              <w:rPr>
                <w:rFonts w:ascii="Arial" w:hAnsi="Arial" w:cs="Arial"/>
                <w:sz w:val="20"/>
                <w:szCs w:val="20"/>
              </w:rPr>
              <w:t xml:space="preserve">Clasificación </w:t>
            </w:r>
          </w:p>
        </w:tc>
        <w:tc>
          <w:tcPr>
            <w:tcW w:w="850" w:type="dxa"/>
          </w:tcPr>
          <w:p w:rsidR="002257C4" w:rsidRPr="0028732A" w:rsidRDefault="002257C4" w:rsidP="00E5777C">
            <w:pPr>
              <w:jc w:val="both"/>
              <w:rPr>
                <w:rFonts w:ascii="Arial" w:hAnsi="Arial" w:cs="Arial"/>
                <w:sz w:val="20"/>
                <w:szCs w:val="20"/>
              </w:rPr>
            </w:pPr>
            <w:r w:rsidRPr="0028732A">
              <w:rPr>
                <w:rFonts w:ascii="Arial" w:hAnsi="Arial" w:cs="Arial"/>
                <w:sz w:val="20"/>
                <w:szCs w:val="20"/>
              </w:rPr>
              <w:t xml:space="preserve">Vía de </w:t>
            </w:r>
            <w:r>
              <w:rPr>
                <w:rFonts w:ascii="Arial" w:hAnsi="Arial" w:cs="Arial"/>
                <w:sz w:val="20"/>
                <w:szCs w:val="20"/>
              </w:rPr>
              <w:t>adm.</w:t>
            </w:r>
            <w:r w:rsidRPr="0028732A">
              <w:rPr>
                <w:rFonts w:ascii="Arial" w:hAnsi="Arial" w:cs="Arial"/>
                <w:sz w:val="20"/>
                <w:szCs w:val="20"/>
              </w:rPr>
              <w:t xml:space="preserve"> </w:t>
            </w:r>
          </w:p>
        </w:tc>
        <w:tc>
          <w:tcPr>
            <w:tcW w:w="2410" w:type="dxa"/>
          </w:tcPr>
          <w:p w:rsidR="002257C4" w:rsidRPr="0028732A" w:rsidRDefault="002257C4" w:rsidP="00E5777C">
            <w:pPr>
              <w:jc w:val="both"/>
              <w:rPr>
                <w:rFonts w:ascii="Arial" w:hAnsi="Arial" w:cs="Arial"/>
                <w:sz w:val="20"/>
                <w:szCs w:val="20"/>
              </w:rPr>
            </w:pPr>
            <w:r w:rsidRPr="0028732A">
              <w:rPr>
                <w:rFonts w:ascii="Arial" w:hAnsi="Arial" w:cs="Arial"/>
                <w:sz w:val="20"/>
                <w:szCs w:val="20"/>
              </w:rPr>
              <w:t>Efectos secundarios</w:t>
            </w:r>
          </w:p>
        </w:tc>
        <w:tc>
          <w:tcPr>
            <w:tcW w:w="7226" w:type="dxa"/>
          </w:tcPr>
          <w:p w:rsidR="002257C4" w:rsidRPr="0028732A" w:rsidRDefault="002257C4" w:rsidP="00E5777C">
            <w:pPr>
              <w:jc w:val="both"/>
              <w:rPr>
                <w:rFonts w:ascii="Arial" w:hAnsi="Arial" w:cs="Arial"/>
                <w:sz w:val="20"/>
                <w:szCs w:val="20"/>
              </w:rPr>
            </w:pPr>
            <w:r w:rsidRPr="0028732A">
              <w:rPr>
                <w:rFonts w:ascii="Arial" w:hAnsi="Arial" w:cs="Arial"/>
                <w:sz w:val="20"/>
                <w:szCs w:val="20"/>
              </w:rPr>
              <w:t>Consideraciones especiales</w:t>
            </w:r>
          </w:p>
        </w:tc>
      </w:tr>
      <w:tr w:rsidR="002257C4" w:rsidTr="002257C4">
        <w:tc>
          <w:tcPr>
            <w:tcW w:w="1242" w:type="dxa"/>
          </w:tcPr>
          <w:p w:rsidR="002257C4" w:rsidRDefault="002257C4" w:rsidP="00B86E28">
            <w:pPr>
              <w:jc w:val="both"/>
              <w:rPr>
                <w:rFonts w:ascii="Arial" w:hAnsi="Arial" w:cs="Arial"/>
                <w:sz w:val="16"/>
                <w:szCs w:val="16"/>
              </w:rPr>
            </w:pPr>
          </w:p>
          <w:p w:rsidR="002257C4" w:rsidRPr="002257C4" w:rsidRDefault="002257C4" w:rsidP="00B86E28">
            <w:pPr>
              <w:jc w:val="both"/>
              <w:rPr>
                <w:rFonts w:ascii="Arial" w:hAnsi="Arial" w:cs="Arial"/>
                <w:sz w:val="16"/>
                <w:szCs w:val="16"/>
              </w:rPr>
            </w:pPr>
            <w:r>
              <w:rPr>
                <w:rFonts w:ascii="Arial" w:hAnsi="Arial" w:cs="Arial"/>
                <w:sz w:val="16"/>
                <w:szCs w:val="16"/>
              </w:rPr>
              <w:t>Dexrazoxano (Zinecard)</w:t>
            </w:r>
          </w:p>
        </w:tc>
        <w:tc>
          <w:tcPr>
            <w:tcW w:w="1418" w:type="dxa"/>
          </w:tcPr>
          <w:p w:rsidR="002257C4" w:rsidRDefault="002257C4" w:rsidP="00B86E28">
            <w:pPr>
              <w:jc w:val="both"/>
              <w:rPr>
                <w:rFonts w:ascii="Arial" w:hAnsi="Arial" w:cs="Arial"/>
                <w:sz w:val="16"/>
                <w:szCs w:val="16"/>
              </w:rPr>
            </w:pPr>
          </w:p>
          <w:p w:rsidR="002257C4" w:rsidRPr="002257C4" w:rsidRDefault="00140AFD" w:rsidP="00B86E28">
            <w:pPr>
              <w:jc w:val="both"/>
              <w:rPr>
                <w:rFonts w:ascii="Arial" w:hAnsi="Arial" w:cs="Arial"/>
                <w:sz w:val="16"/>
                <w:szCs w:val="16"/>
              </w:rPr>
            </w:pPr>
            <w:r>
              <w:rPr>
                <w:rFonts w:ascii="Arial" w:hAnsi="Arial" w:cs="Arial"/>
                <w:sz w:val="16"/>
                <w:szCs w:val="16"/>
              </w:rPr>
              <w:t>cardioprotector</w:t>
            </w:r>
          </w:p>
        </w:tc>
        <w:tc>
          <w:tcPr>
            <w:tcW w:w="850" w:type="dxa"/>
          </w:tcPr>
          <w:p w:rsidR="002257C4" w:rsidRDefault="002257C4" w:rsidP="00B86E28">
            <w:pPr>
              <w:jc w:val="both"/>
              <w:rPr>
                <w:rFonts w:ascii="Arial" w:hAnsi="Arial" w:cs="Arial"/>
                <w:sz w:val="16"/>
                <w:szCs w:val="16"/>
              </w:rPr>
            </w:pPr>
          </w:p>
          <w:p w:rsidR="00140AFD" w:rsidRPr="002257C4" w:rsidRDefault="00140AFD" w:rsidP="00B86E28">
            <w:pPr>
              <w:jc w:val="both"/>
              <w:rPr>
                <w:rFonts w:ascii="Arial" w:hAnsi="Arial" w:cs="Arial"/>
                <w:sz w:val="16"/>
                <w:szCs w:val="16"/>
              </w:rPr>
            </w:pPr>
            <w:r>
              <w:rPr>
                <w:rFonts w:ascii="Arial" w:hAnsi="Arial" w:cs="Arial"/>
                <w:sz w:val="16"/>
                <w:szCs w:val="16"/>
              </w:rPr>
              <w:t>IV</w:t>
            </w:r>
          </w:p>
        </w:tc>
        <w:tc>
          <w:tcPr>
            <w:tcW w:w="2410" w:type="dxa"/>
          </w:tcPr>
          <w:p w:rsidR="002257C4" w:rsidRDefault="002257C4" w:rsidP="00B86E28">
            <w:pPr>
              <w:jc w:val="both"/>
              <w:rPr>
                <w:rFonts w:ascii="Arial" w:hAnsi="Arial" w:cs="Arial"/>
                <w:sz w:val="16"/>
                <w:szCs w:val="16"/>
              </w:rPr>
            </w:pPr>
          </w:p>
          <w:p w:rsidR="00140AFD" w:rsidRDefault="00140AFD" w:rsidP="00B86E28">
            <w:pPr>
              <w:jc w:val="both"/>
              <w:rPr>
                <w:rFonts w:ascii="Arial" w:hAnsi="Arial" w:cs="Arial"/>
                <w:sz w:val="16"/>
                <w:szCs w:val="16"/>
              </w:rPr>
            </w:pPr>
            <w:r>
              <w:rPr>
                <w:rFonts w:ascii="Arial" w:hAnsi="Arial" w:cs="Arial"/>
                <w:sz w:val="16"/>
                <w:szCs w:val="16"/>
              </w:rPr>
              <w:t>Frecuentes: dolor al inyectarse, flebitis, mielosupresión.</w:t>
            </w:r>
          </w:p>
          <w:p w:rsidR="00140AFD" w:rsidRDefault="00140AFD" w:rsidP="00B86E28">
            <w:pPr>
              <w:jc w:val="both"/>
              <w:rPr>
                <w:rFonts w:ascii="Arial" w:hAnsi="Arial" w:cs="Arial"/>
                <w:sz w:val="16"/>
                <w:szCs w:val="16"/>
              </w:rPr>
            </w:pPr>
            <w:r>
              <w:rPr>
                <w:rFonts w:ascii="Arial" w:hAnsi="Arial" w:cs="Arial"/>
                <w:sz w:val="16"/>
                <w:szCs w:val="16"/>
              </w:rPr>
              <w:t>Ocasionales: aumentos pasajeros en los niveles de triglicéridos, amilasa y alanina aminotransferasa, náuseas leves, vómito y diarrea.</w:t>
            </w:r>
          </w:p>
          <w:p w:rsidR="00140AFD" w:rsidRPr="002257C4" w:rsidRDefault="00140AFD" w:rsidP="00B86E28">
            <w:pPr>
              <w:jc w:val="both"/>
              <w:rPr>
                <w:rFonts w:ascii="Arial" w:hAnsi="Arial" w:cs="Arial"/>
                <w:sz w:val="16"/>
                <w:szCs w:val="16"/>
              </w:rPr>
            </w:pPr>
            <w:r>
              <w:rPr>
                <w:rFonts w:ascii="Arial" w:hAnsi="Arial" w:cs="Arial"/>
                <w:sz w:val="16"/>
                <w:szCs w:val="16"/>
              </w:rPr>
              <w:t>Raros: neurotoxicidad (dolor de cabeza, estreñimiento)</w:t>
            </w:r>
          </w:p>
        </w:tc>
        <w:tc>
          <w:tcPr>
            <w:tcW w:w="7226" w:type="dxa"/>
          </w:tcPr>
          <w:p w:rsidR="002257C4" w:rsidRDefault="002257C4" w:rsidP="00B86E28">
            <w:pPr>
              <w:jc w:val="both"/>
              <w:rPr>
                <w:rFonts w:ascii="Arial" w:hAnsi="Arial" w:cs="Arial"/>
                <w:sz w:val="16"/>
                <w:szCs w:val="16"/>
              </w:rPr>
            </w:pPr>
          </w:p>
          <w:p w:rsidR="00140AFD" w:rsidRDefault="00140AFD" w:rsidP="00B86E28">
            <w:pPr>
              <w:jc w:val="both"/>
              <w:rPr>
                <w:rFonts w:ascii="Arial" w:hAnsi="Arial" w:cs="Arial"/>
                <w:sz w:val="16"/>
                <w:szCs w:val="16"/>
              </w:rPr>
            </w:pPr>
            <w:r>
              <w:rPr>
                <w:rFonts w:ascii="Arial" w:hAnsi="Arial" w:cs="Arial"/>
                <w:sz w:val="16"/>
                <w:szCs w:val="16"/>
              </w:rPr>
              <w:t>Relación de dosis recomendada de dexrazoxano: doxorrubicina es de 10:1</w:t>
            </w:r>
          </w:p>
          <w:p w:rsidR="00140AFD" w:rsidRPr="002257C4" w:rsidRDefault="00140AFD" w:rsidP="00B86E28">
            <w:pPr>
              <w:jc w:val="both"/>
              <w:rPr>
                <w:rFonts w:ascii="Arial" w:hAnsi="Arial" w:cs="Arial"/>
                <w:sz w:val="16"/>
                <w:szCs w:val="16"/>
              </w:rPr>
            </w:pPr>
            <w:r>
              <w:rPr>
                <w:rFonts w:ascii="Arial" w:hAnsi="Arial" w:cs="Arial"/>
                <w:sz w:val="16"/>
                <w:szCs w:val="16"/>
              </w:rPr>
              <w:t>La doxorrubicina debe administrarse durante los 30 minutos posteriores al inicio de la infusión de dexrazoxano.</w:t>
            </w:r>
          </w:p>
        </w:tc>
      </w:tr>
      <w:tr w:rsidR="002257C4" w:rsidTr="002257C4">
        <w:tc>
          <w:tcPr>
            <w:tcW w:w="1242" w:type="dxa"/>
          </w:tcPr>
          <w:p w:rsidR="002257C4" w:rsidRDefault="002257C4" w:rsidP="00B86E28">
            <w:pPr>
              <w:jc w:val="both"/>
              <w:rPr>
                <w:rFonts w:ascii="Arial" w:hAnsi="Arial" w:cs="Arial"/>
                <w:sz w:val="16"/>
                <w:szCs w:val="16"/>
              </w:rPr>
            </w:pPr>
          </w:p>
          <w:p w:rsidR="00140AFD" w:rsidRPr="002257C4" w:rsidRDefault="00140AFD" w:rsidP="00B86E28">
            <w:pPr>
              <w:jc w:val="both"/>
              <w:rPr>
                <w:rFonts w:ascii="Arial" w:hAnsi="Arial" w:cs="Arial"/>
                <w:sz w:val="16"/>
                <w:szCs w:val="16"/>
              </w:rPr>
            </w:pPr>
            <w:r>
              <w:rPr>
                <w:rFonts w:ascii="Arial" w:hAnsi="Arial" w:cs="Arial"/>
                <w:sz w:val="16"/>
                <w:szCs w:val="16"/>
              </w:rPr>
              <w:t>Leucovorina cálcica (LCV, wellcovorin, factor de citrovorum, ácido fólico)</w:t>
            </w:r>
          </w:p>
        </w:tc>
        <w:tc>
          <w:tcPr>
            <w:tcW w:w="1418" w:type="dxa"/>
          </w:tcPr>
          <w:p w:rsidR="002257C4" w:rsidRDefault="002257C4" w:rsidP="00B86E28">
            <w:pPr>
              <w:jc w:val="both"/>
              <w:rPr>
                <w:rFonts w:ascii="Arial" w:hAnsi="Arial" w:cs="Arial"/>
                <w:sz w:val="16"/>
                <w:szCs w:val="16"/>
              </w:rPr>
            </w:pPr>
          </w:p>
          <w:p w:rsidR="00140AFD" w:rsidRPr="002257C4" w:rsidRDefault="00400C8F" w:rsidP="00B86E28">
            <w:pPr>
              <w:jc w:val="both"/>
              <w:rPr>
                <w:rFonts w:ascii="Arial" w:hAnsi="Arial" w:cs="Arial"/>
                <w:sz w:val="16"/>
                <w:szCs w:val="16"/>
              </w:rPr>
            </w:pPr>
            <w:r>
              <w:rPr>
                <w:rFonts w:ascii="Arial" w:hAnsi="Arial" w:cs="Arial"/>
                <w:sz w:val="16"/>
                <w:szCs w:val="16"/>
              </w:rPr>
              <w:t>Vitamina hidrosoluble (ácido fólico)</w:t>
            </w:r>
          </w:p>
        </w:tc>
        <w:tc>
          <w:tcPr>
            <w:tcW w:w="850" w:type="dxa"/>
          </w:tcPr>
          <w:p w:rsidR="002257C4" w:rsidRDefault="002257C4" w:rsidP="00B86E28">
            <w:pPr>
              <w:jc w:val="both"/>
              <w:rPr>
                <w:rFonts w:ascii="Arial" w:hAnsi="Arial" w:cs="Arial"/>
                <w:sz w:val="16"/>
                <w:szCs w:val="16"/>
              </w:rPr>
            </w:pPr>
          </w:p>
          <w:p w:rsidR="00400C8F" w:rsidRDefault="00400C8F" w:rsidP="00B86E28">
            <w:pPr>
              <w:jc w:val="both"/>
              <w:rPr>
                <w:rFonts w:ascii="Arial" w:hAnsi="Arial" w:cs="Arial"/>
                <w:sz w:val="16"/>
                <w:szCs w:val="16"/>
              </w:rPr>
            </w:pPr>
            <w:r>
              <w:rPr>
                <w:rFonts w:ascii="Arial" w:hAnsi="Arial" w:cs="Arial"/>
                <w:sz w:val="16"/>
                <w:szCs w:val="16"/>
              </w:rPr>
              <w:t>IV</w:t>
            </w:r>
          </w:p>
          <w:p w:rsidR="00400C8F" w:rsidRPr="002257C4" w:rsidRDefault="00400C8F" w:rsidP="00B86E28">
            <w:pPr>
              <w:jc w:val="both"/>
              <w:rPr>
                <w:rFonts w:ascii="Arial" w:hAnsi="Arial" w:cs="Arial"/>
                <w:sz w:val="16"/>
                <w:szCs w:val="16"/>
              </w:rPr>
            </w:pPr>
            <w:r>
              <w:rPr>
                <w:rFonts w:ascii="Arial" w:hAnsi="Arial" w:cs="Arial"/>
                <w:sz w:val="16"/>
                <w:szCs w:val="16"/>
              </w:rPr>
              <w:t>IM</w:t>
            </w:r>
            <w:r>
              <w:rPr>
                <w:rFonts w:ascii="Arial" w:hAnsi="Arial" w:cs="Arial"/>
                <w:sz w:val="16"/>
                <w:szCs w:val="16"/>
              </w:rPr>
              <w:br/>
              <w:t>Oral</w:t>
            </w:r>
          </w:p>
        </w:tc>
        <w:tc>
          <w:tcPr>
            <w:tcW w:w="2410" w:type="dxa"/>
          </w:tcPr>
          <w:p w:rsidR="002257C4" w:rsidRDefault="002257C4" w:rsidP="00B86E28">
            <w:pPr>
              <w:jc w:val="both"/>
              <w:rPr>
                <w:rFonts w:ascii="Arial" w:hAnsi="Arial" w:cs="Arial"/>
                <w:sz w:val="16"/>
                <w:szCs w:val="16"/>
              </w:rPr>
            </w:pPr>
          </w:p>
          <w:p w:rsidR="00400C8F" w:rsidRPr="002257C4" w:rsidRDefault="00400C8F" w:rsidP="00B86E28">
            <w:pPr>
              <w:jc w:val="both"/>
              <w:rPr>
                <w:rFonts w:ascii="Arial" w:hAnsi="Arial" w:cs="Arial"/>
                <w:sz w:val="16"/>
                <w:szCs w:val="16"/>
              </w:rPr>
            </w:pPr>
            <w:r>
              <w:rPr>
                <w:rFonts w:ascii="Arial" w:hAnsi="Arial" w:cs="Arial"/>
                <w:sz w:val="16"/>
                <w:szCs w:val="16"/>
              </w:rPr>
              <w:t>Raros: sensibilización alérgica, erupción.</w:t>
            </w:r>
          </w:p>
        </w:tc>
        <w:tc>
          <w:tcPr>
            <w:tcW w:w="7226" w:type="dxa"/>
          </w:tcPr>
          <w:p w:rsidR="002257C4" w:rsidRDefault="002257C4" w:rsidP="00B86E28">
            <w:pPr>
              <w:jc w:val="both"/>
              <w:rPr>
                <w:rFonts w:ascii="Arial" w:hAnsi="Arial" w:cs="Arial"/>
                <w:sz w:val="16"/>
                <w:szCs w:val="16"/>
              </w:rPr>
            </w:pPr>
          </w:p>
          <w:p w:rsidR="00400C8F" w:rsidRDefault="00400C8F" w:rsidP="00B86E28">
            <w:pPr>
              <w:jc w:val="both"/>
              <w:rPr>
                <w:rFonts w:ascii="Arial" w:hAnsi="Arial" w:cs="Arial"/>
                <w:sz w:val="16"/>
                <w:szCs w:val="16"/>
              </w:rPr>
            </w:pPr>
            <w:r>
              <w:rPr>
                <w:rFonts w:ascii="Arial" w:hAnsi="Arial" w:cs="Arial"/>
                <w:sz w:val="16"/>
                <w:szCs w:val="16"/>
              </w:rPr>
              <w:t>Se usa como rescate celular cuando se administran dosis intermedias o altas de metotrexato.</w:t>
            </w:r>
          </w:p>
          <w:p w:rsidR="00400C8F" w:rsidRDefault="00400C8F" w:rsidP="00B86E28">
            <w:pPr>
              <w:jc w:val="both"/>
              <w:rPr>
                <w:rFonts w:ascii="Arial" w:hAnsi="Arial" w:cs="Arial"/>
                <w:sz w:val="16"/>
                <w:szCs w:val="16"/>
              </w:rPr>
            </w:pPr>
            <w:r>
              <w:rPr>
                <w:rFonts w:ascii="Arial" w:hAnsi="Arial" w:cs="Arial"/>
                <w:sz w:val="16"/>
                <w:szCs w:val="16"/>
              </w:rPr>
              <w:t>Puede administrarse como dosis única después de la administración IT de metotrexato.</w:t>
            </w:r>
          </w:p>
          <w:p w:rsidR="00400C8F" w:rsidRDefault="00400C8F" w:rsidP="00B86E28">
            <w:pPr>
              <w:jc w:val="both"/>
              <w:rPr>
                <w:rFonts w:ascii="Arial" w:hAnsi="Arial" w:cs="Arial"/>
                <w:sz w:val="16"/>
                <w:szCs w:val="16"/>
              </w:rPr>
            </w:pPr>
            <w:r>
              <w:rPr>
                <w:rFonts w:ascii="Arial" w:hAnsi="Arial" w:cs="Arial"/>
                <w:sz w:val="16"/>
                <w:szCs w:val="16"/>
              </w:rPr>
              <w:t>Debe administrarse exactamente a las horas indicadas.</w:t>
            </w:r>
          </w:p>
          <w:p w:rsidR="00400C8F" w:rsidRPr="002257C4" w:rsidRDefault="00400C8F" w:rsidP="00B86E28">
            <w:pPr>
              <w:jc w:val="both"/>
              <w:rPr>
                <w:rFonts w:ascii="Arial" w:hAnsi="Arial" w:cs="Arial"/>
                <w:sz w:val="16"/>
                <w:szCs w:val="16"/>
              </w:rPr>
            </w:pPr>
          </w:p>
        </w:tc>
      </w:tr>
      <w:tr w:rsidR="002257C4" w:rsidTr="002257C4">
        <w:tc>
          <w:tcPr>
            <w:tcW w:w="1242" w:type="dxa"/>
          </w:tcPr>
          <w:p w:rsidR="002257C4" w:rsidRDefault="002257C4" w:rsidP="00B86E28">
            <w:pPr>
              <w:jc w:val="both"/>
              <w:rPr>
                <w:rFonts w:ascii="Arial" w:hAnsi="Arial" w:cs="Arial"/>
                <w:sz w:val="16"/>
                <w:szCs w:val="16"/>
              </w:rPr>
            </w:pPr>
          </w:p>
          <w:p w:rsidR="00400C8F" w:rsidRPr="002257C4" w:rsidRDefault="00400C8F" w:rsidP="00B86E28">
            <w:pPr>
              <w:jc w:val="both"/>
              <w:rPr>
                <w:rFonts w:ascii="Arial" w:hAnsi="Arial" w:cs="Arial"/>
                <w:sz w:val="16"/>
                <w:szCs w:val="16"/>
              </w:rPr>
            </w:pPr>
            <w:r>
              <w:rPr>
                <w:rFonts w:ascii="Arial" w:hAnsi="Arial" w:cs="Arial"/>
                <w:sz w:val="16"/>
                <w:szCs w:val="16"/>
              </w:rPr>
              <w:t>Mesna (</w:t>
            </w:r>
            <w:proofErr w:type="spellStart"/>
            <w:r w:rsidR="00597D5A">
              <w:rPr>
                <w:rFonts w:ascii="Arial" w:hAnsi="Arial" w:cs="Arial"/>
                <w:sz w:val="16"/>
                <w:szCs w:val="16"/>
              </w:rPr>
              <w:t>mesnex</w:t>
            </w:r>
            <w:proofErr w:type="spellEnd"/>
            <w:r w:rsidR="00597D5A">
              <w:rPr>
                <w:rFonts w:ascii="Arial" w:hAnsi="Arial" w:cs="Arial"/>
                <w:sz w:val="16"/>
                <w:szCs w:val="16"/>
              </w:rPr>
              <w:t>)</w:t>
            </w:r>
          </w:p>
        </w:tc>
        <w:tc>
          <w:tcPr>
            <w:tcW w:w="1418" w:type="dxa"/>
          </w:tcPr>
          <w:p w:rsidR="002257C4" w:rsidRDefault="002257C4" w:rsidP="00B86E28">
            <w:pPr>
              <w:jc w:val="both"/>
              <w:rPr>
                <w:rFonts w:ascii="Arial" w:hAnsi="Arial" w:cs="Arial"/>
                <w:sz w:val="16"/>
                <w:szCs w:val="16"/>
              </w:rPr>
            </w:pPr>
          </w:p>
          <w:p w:rsidR="00597D5A" w:rsidRPr="002257C4" w:rsidRDefault="00597D5A" w:rsidP="00B86E28">
            <w:pPr>
              <w:jc w:val="both"/>
              <w:rPr>
                <w:rFonts w:ascii="Arial" w:hAnsi="Arial" w:cs="Arial"/>
                <w:sz w:val="16"/>
                <w:szCs w:val="16"/>
              </w:rPr>
            </w:pPr>
            <w:r>
              <w:rPr>
                <w:rFonts w:ascii="Arial" w:hAnsi="Arial" w:cs="Arial"/>
                <w:sz w:val="16"/>
                <w:szCs w:val="16"/>
              </w:rPr>
              <w:t>Misceláneo, antídoto</w:t>
            </w:r>
          </w:p>
        </w:tc>
        <w:tc>
          <w:tcPr>
            <w:tcW w:w="850" w:type="dxa"/>
          </w:tcPr>
          <w:p w:rsidR="002257C4" w:rsidRDefault="00597D5A" w:rsidP="00B86E28">
            <w:pPr>
              <w:jc w:val="both"/>
              <w:rPr>
                <w:rFonts w:ascii="Arial" w:hAnsi="Arial" w:cs="Arial"/>
                <w:sz w:val="16"/>
                <w:szCs w:val="16"/>
              </w:rPr>
            </w:pPr>
            <w:r>
              <w:rPr>
                <w:rFonts w:ascii="Arial" w:hAnsi="Arial" w:cs="Arial"/>
                <w:sz w:val="16"/>
                <w:szCs w:val="16"/>
              </w:rPr>
              <w:t xml:space="preserve"> </w:t>
            </w:r>
          </w:p>
          <w:p w:rsidR="00597D5A" w:rsidRPr="002257C4" w:rsidRDefault="00597D5A" w:rsidP="00B86E28">
            <w:pPr>
              <w:jc w:val="both"/>
              <w:rPr>
                <w:rFonts w:ascii="Arial" w:hAnsi="Arial" w:cs="Arial"/>
                <w:sz w:val="16"/>
                <w:szCs w:val="16"/>
              </w:rPr>
            </w:pPr>
            <w:r>
              <w:rPr>
                <w:rFonts w:ascii="Arial" w:hAnsi="Arial" w:cs="Arial"/>
                <w:sz w:val="16"/>
                <w:szCs w:val="16"/>
              </w:rPr>
              <w:t>IV Oral</w:t>
            </w:r>
          </w:p>
        </w:tc>
        <w:tc>
          <w:tcPr>
            <w:tcW w:w="2410" w:type="dxa"/>
          </w:tcPr>
          <w:p w:rsidR="002257C4" w:rsidRDefault="002257C4" w:rsidP="00B86E28">
            <w:pPr>
              <w:jc w:val="both"/>
              <w:rPr>
                <w:rFonts w:ascii="Arial" w:hAnsi="Arial" w:cs="Arial"/>
                <w:sz w:val="16"/>
                <w:szCs w:val="16"/>
              </w:rPr>
            </w:pPr>
          </w:p>
          <w:p w:rsidR="00597D5A" w:rsidRDefault="00597D5A" w:rsidP="00B86E28">
            <w:pPr>
              <w:jc w:val="both"/>
              <w:rPr>
                <w:rFonts w:ascii="Arial" w:hAnsi="Arial" w:cs="Arial"/>
                <w:sz w:val="16"/>
                <w:szCs w:val="16"/>
              </w:rPr>
            </w:pPr>
            <w:r>
              <w:rPr>
                <w:rFonts w:ascii="Arial" w:hAnsi="Arial" w:cs="Arial"/>
                <w:sz w:val="16"/>
                <w:szCs w:val="16"/>
              </w:rPr>
              <w:t>Frecuentes: mal sabor cuando se usa por vía oral.</w:t>
            </w:r>
          </w:p>
          <w:p w:rsidR="00597D5A" w:rsidRDefault="00597D5A" w:rsidP="00B86E28">
            <w:pPr>
              <w:jc w:val="both"/>
              <w:rPr>
                <w:rFonts w:ascii="Arial" w:hAnsi="Arial" w:cs="Arial"/>
                <w:sz w:val="16"/>
                <w:szCs w:val="16"/>
              </w:rPr>
            </w:pPr>
            <w:r>
              <w:rPr>
                <w:rFonts w:ascii="Arial" w:hAnsi="Arial" w:cs="Arial"/>
                <w:sz w:val="16"/>
                <w:szCs w:val="16"/>
              </w:rPr>
              <w:t>Ocasionales: náuseas, vómito, dolor de estómago.</w:t>
            </w:r>
          </w:p>
          <w:p w:rsidR="00597D5A" w:rsidRPr="002257C4" w:rsidRDefault="00597D5A" w:rsidP="00B86E28">
            <w:pPr>
              <w:jc w:val="both"/>
              <w:rPr>
                <w:rFonts w:ascii="Arial" w:hAnsi="Arial" w:cs="Arial"/>
                <w:sz w:val="16"/>
                <w:szCs w:val="16"/>
              </w:rPr>
            </w:pPr>
            <w:r>
              <w:rPr>
                <w:rFonts w:ascii="Arial" w:hAnsi="Arial" w:cs="Arial"/>
                <w:sz w:val="16"/>
                <w:szCs w:val="16"/>
              </w:rPr>
              <w:t>Raros: dolor de cabeza, dolor en los brazos, hipotensión pasajera, alergia, diarrea.</w:t>
            </w:r>
          </w:p>
        </w:tc>
        <w:tc>
          <w:tcPr>
            <w:tcW w:w="7226" w:type="dxa"/>
          </w:tcPr>
          <w:p w:rsidR="002257C4" w:rsidRDefault="002257C4" w:rsidP="00B86E28">
            <w:pPr>
              <w:jc w:val="both"/>
              <w:rPr>
                <w:rFonts w:ascii="Arial" w:hAnsi="Arial" w:cs="Arial"/>
                <w:sz w:val="16"/>
                <w:szCs w:val="16"/>
              </w:rPr>
            </w:pPr>
          </w:p>
          <w:p w:rsidR="00597D5A" w:rsidRDefault="00597D5A" w:rsidP="00B86E28">
            <w:pPr>
              <w:jc w:val="both"/>
              <w:rPr>
                <w:rFonts w:ascii="Arial" w:hAnsi="Arial" w:cs="Arial"/>
                <w:sz w:val="16"/>
                <w:szCs w:val="16"/>
              </w:rPr>
            </w:pPr>
            <w:r>
              <w:rPr>
                <w:rFonts w:ascii="Arial" w:hAnsi="Arial" w:cs="Arial"/>
                <w:sz w:val="16"/>
                <w:szCs w:val="16"/>
              </w:rPr>
              <w:t>Resultado falso positivo en prueba de cetonas en orina.</w:t>
            </w:r>
          </w:p>
          <w:p w:rsidR="00597D5A" w:rsidRDefault="00597D5A" w:rsidP="00B86E28">
            <w:pPr>
              <w:jc w:val="both"/>
              <w:rPr>
                <w:rFonts w:ascii="Arial" w:hAnsi="Arial" w:cs="Arial"/>
                <w:sz w:val="16"/>
                <w:szCs w:val="16"/>
              </w:rPr>
            </w:pPr>
            <w:r>
              <w:rPr>
                <w:rFonts w:ascii="Arial" w:hAnsi="Arial" w:cs="Arial"/>
                <w:sz w:val="16"/>
                <w:szCs w:val="16"/>
              </w:rPr>
              <w:t>No es compatible con cisplatino.</w:t>
            </w:r>
          </w:p>
          <w:p w:rsidR="00597D5A" w:rsidRDefault="00597D5A" w:rsidP="00B86E28">
            <w:pPr>
              <w:jc w:val="both"/>
              <w:rPr>
                <w:rFonts w:ascii="Arial" w:hAnsi="Arial" w:cs="Arial"/>
                <w:sz w:val="16"/>
                <w:szCs w:val="16"/>
              </w:rPr>
            </w:pPr>
            <w:r>
              <w:rPr>
                <w:rFonts w:ascii="Arial" w:hAnsi="Arial" w:cs="Arial"/>
                <w:sz w:val="16"/>
                <w:szCs w:val="16"/>
              </w:rPr>
              <w:t>Puede mezclarse con ciclofosfamida o Ifosfamida.</w:t>
            </w:r>
          </w:p>
          <w:p w:rsidR="00597D5A" w:rsidRDefault="00597D5A" w:rsidP="00B86E28">
            <w:pPr>
              <w:jc w:val="both"/>
              <w:rPr>
                <w:rFonts w:ascii="Arial" w:hAnsi="Arial" w:cs="Arial"/>
                <w:sz w:val="16"/>
                <w:szCs w:val="16"/>
              </w:rPr>
            </w:pPr>
            <w:r>
              <w:rPr>
                <w:rFonts w:ascii="Arial" w:hAnsi="Arial" w:cs="Arial"/>
                <w:sz w:val="16"/>
                <w:szCs w:val="16"/>
              </w:rPr>
              <w:t>Debe administrarse exactamente a las horas indicadas.</w:t>
            </w:r>
          </w:p>
          <w:p w:rsidR="00597D5A" w:rsidRDefault="00597D5A" w:rsidP="00B86E28">
            <w:pPr>
              <w:jc w:val="both"/>
              <w:rPr>
                <w:rFonts w:ascii="Arial" w:hAnsi="Arial" w:cs="Arial"/>
                <w:sz w:val="16"/>
                <w:szCs w:val="16"/>
              </w:rPr>
            </w:pPr>
            <w:r>
              <w:rPr>
                <w:rFonts w:ascii="Arial" w:hAnsi="Arial" w:cs="Arial"/>
                <w:sz w:val="16"/>
                <w:szCs w:val="16"/>
              </w:rPr>
              <w:t>La dosis IV puede administrarse por vía oral a una dosis más alta; tiene mal sabor.</w:t>
            </w:r>
          </w:p>
          <w:p w:rsidR="00597D5A" w:rsidRDefault="00597D5A" w:rsidP="00B86E28">
            <w:pPr>
              <w:jc w:val="both"/>
              <w:rPr>
                <w:rFonts w:ascii="Arial" w:hAnsi="Arial" w:cs="Arial"/>
                <w:sz w:val="16"/>
                <w:szCs w:val="16"/>
              </w:rPr>
            </w:pPr>
            <w:r>
              <w:rPr>
                <w:rFonts w:ascii="Arial" w:hAnsi="Arial" w:cs="Arial"/>
                <w:sz w:val="16"/>
                <w:szCs w:val="16"/>
              </w:rPr>
              <w:t>No usar en bebés de corta edad o neonatos porque se usa alcohol bencílico como conservador. Los niños de corta edad que reciben dosis altas pueden desarrollar síndrome tóxico fatal o de jadeo  (que se manifiesta por acidosis metabólica y falla orgánica múltiple)</w:t>
            </w:r>
            <w:r w:rsidR="00F8348E">
              <w:rPr>
                <w:rFonts w:ascii="Arial" w:hAnsi="Arial" w:cs="Arial"/>
                <w:sz w:val="16"/>
                <w:szCs w:val="16"/>
              </w:rPr>
              <w:t>.</w:t>
            </w:r>
          </w:p>
          <w:p w:rsidR="00F8348E" w:rsidRPr="002257C4" w:rsidRDefault="00F8348E" w:rsidP="00B86E28">
            <w:pPr>
              <w:jc w:val="both"/>
              <w:rPr>
                <w:rFonts w:ascii="Arial" w:hAnsi="Arial" w:cs="Arial"/>
                <w:sz w:val="16"/>
                <w:szCs w:val="16"/>
              </w:rPr>
            </w:pPr>
          </w:p>
        </w:tc>
      </w:tr>
    </w:tbl>
    <w:p w:rsidR="002257C4" w:rsidRDefault="002257C4" w:rsidP="00B86E28">
      <w:pPr>
        <w:jc w:val="both"/>
        <w:rPr>
          <w:rFonts w:ascii="Arial" w:hAnsi="Arial" w:cs="Arial"/>
          <w:sz w:val="24"/>
          <w:szCs w:val="24"/>
        </w:rPr>
      </w:pPr>
    </w:p>
    <w:p w:rsidR="00F8348E" w:rsidRDefault="00F8348E" w:rsidP="00B86E28">
      <w:pPr>
        <w:jc w:val="both"/>
        <w:rPr>
          <w:rFonts w:ascii="Arial" w:hAnsi="Arial" w:cs="Arial"/>
          <w:sz w:val="24"/>
          <w:szCs w:val="24"/>
        </w:rPr>
      </w:pPr>
    </w:p>
    <w:p w:rsidR="00F8348E" w:rsidRDefault="00F8348E" w:rsidP="00B86E28">
      <w:pPr>
        <w:jc w:val="both"/>
        <w:rPr>
          <w:rFonts w:ascii="Arial" w:hAnsi="Arial" w:cs="Arial"/>
          <w:sz w:val="24"/>
          <w:szCs w:val="24"/>
        </w:rPr>
      </w:pPr>
    </w:p>
    <w:p w:rsidR="00F8348E" w:rsidRDefault="00F8348E" w:rsidP="00B86E28">
      <w:pPr>
        <w:jc w:val="both"/>
        <w:rPr>
          <w:rFonts w:ascii="Arial" w:hAnsi="Arial" w:cs="Arial"/>
          <w:sz w:val="24"/>
          <w:szCs w:val="24"/>
        </w:rPr>
      </w:pPr>
    </w:p>
    <w:p w:rsidR="00F8348E" w:rsidRDefault="00F8348E" w:rsidP="00B86E28">
      <w:pPr>
        <w:jc w:val="both"/>
        <w:rPr>
          <w:rFonts w:ascii="Arial" w:hAnsi="Arial" w:cs="Arial"/>
          <w:sz w:val="24"/>
          <w:szCs w:val="24"/>
        </w:rPr>
      </w:pPr>
      <w:r>
        <w:rPr>
          <w:rFonts w:ascii="Arial" w:hAnsi="Arial" w:cs="Arial"/>
          <w:sz w:val="24"/>
          <w:szCs w:val="24"/>
        </w:rPr>
        <w:lastRenderedPageBreak/>
        <w:t xml:space="preserve">Si llegaste hasta aquí </w:t>
      </w:r>
    </w:p>
    <w:p w:rsidR="00F8348E" w:rsidRDefault="00F8348E" w:rsidP="00465FF5">
      <w:pPr>
        <w:jc w:val="right"/>
        <w:rPr>
          <w:rFonts w:ascii="Arial" w:hAnsi="Arial" w:cs="Arial"/>
          <w:sz w:val="24"/>
          <w:szCs w:val="24"/>
        </w:rPr>
      </w:pPr>
      <w:r>
        <w:rPr>
          <w:rFonts w:ascii="Arial" w:hAnsi="Arial" w:cs="Arial"/>
          <w:noProof/>
          <w:sz w:val="24"/>
          <w:szCs w:val="24"/>
          <w:lang w:eastAsia="es-AR"/>
        </w:rPr>
        <w:drawing>
          <wp:inline distT="0" distB="0" distL="0" distR="0">
            <wp:extent cx="4876800" cy="2133600"/>
            <wp:effectExtent l="0" t="0" r="0" b="0"/>
            <wp:docPr id="1" name="Imagen 1" descr="C:\Users\Marcos\Pictures\una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os\Pictures\una202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0" cy="2133600"/>
                    </a:xfrm>
                    <a:prstGeom prst="rect">
                      <a:avLst/>
                    </a:prstGeom>
                    <a:noFill/>
                    <a:ln>
                      <a:noFill/>
                    </a:ln>
                  </pic:spPr>
                </pic:pic>
              </a:graphicData>
            </a:graphic>
          </wp:inline>
        </w:drawing>
      </w:r>
      <w:r w:rsidR="00465FF5">
        <w:rPr>
          <w:rFonts w:ascii="Arial" w:hAnsi="Arial" w:cs="Arial"/>
          <w:sz w:val="24"/>
          <w:szCs w:val="24"/>
        </w:rPr>
        <w:t>Saravia Marcos enfermero pediátrico</w:t>
      </w:r>
    </w:p>
    <w:p w:rsidR="00465FF5" w:rsidRDefault="00465FF5" w:rsidP="00465FF5">
      <w:pPr>
        <w:jc w:val="right"/>
        <w:rPr>
          <w:rFonts w:ascii="Arial" w:hAnsi="Arial" w:cs="Arial"/>
          <w:sz w:val="24"/>
          <w:szCs w:val="24"/>
        </w:rPr>
      </w:pPr>
      <w:r>
        <w:rPr>
          <w:rFonts w:ascii="Arial" w:hAnsi="Arial" w:cs="Arial"/>
          <w:sz w:val="24"/>
          <w:szCs w:val="24"/>
        </w:rPr>
        <w:t>Jefe de enfermería del hospital de día oncológico</w:t>
      </w:r>
    </w:p>
    <w:p w:rsidR="00465FF5" w:rsidRDefault="00465FF5" w:rsidP="00465FF5">
      <w:pPr>
        <w:jc w:val="right"/>
        <w:rPr>
          <w:rFonts w:ascii="Arial" w:hAnsi="Arial" w:cs="Arial"/>
          <w:sz w:val="24"/>
          <w:szCs w:val="24"/>
        </w:rPr>
      </w:pPr>
      <w:r>
        <w:rPr>
          <w:rFonts w:ascii="Arial" w:hAnsi="Arial" w:cs="Arial"/>
          <w:sz w:val="24"/>
          <w:szCs w:val="24"/>
        </w:rPr>
        <w:t xml:space="preserve">Hospital de niños Dr. Ricardo Gutiérrez </w:t>
      </w:r>
      <w:bookmarkStart w:id="0" w:name="_GoBack"/>
      <w:bookmarkEnd w:id="0"/>
    </w:p>
    <w:sectPr w:rsidR="00465FF5" w:rsidSect="00FB74E9">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87A" w:rsidRDefault="00A6387A" w:rsidP="00EE32DA">
      <w:pPr>
        <w:spacing w:after="0" w:line="240" w:lineRule="auto"/>
      </w:pPr>
      <w:r>
        <w:separator/>
      </w:r>
    </w:p>
  </w:endnote>
  <w:endnote w:type="continuationSeparator" w:id="0">
    <w:p w:rsidR="00A6387A" w:rsidRDefault="00A6387A" w:rsidP="00EE3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87A" w:rsidRDefault="00A6387A" w:rsidP="00EE32DA">
      <w:pPr>
        <w:spacing w:after="0" w:line="240" w:lineRule="auto"/>
      </w:pPr>
      <w:r>
        <w:separator/>
      </w:r>
    </w:p>
  </w:footnote>
  <w:footnote w:type="continuationSeparator" w:id="0">
    <w:p w:rsidR="00A6387A" w:rsidRDefault="00A6387A" w:rsidP="00EE32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5FFA"/>
    <w:multiLevelType w:val="hybridMultilevel"/>
    <w:tmpl w:val="A554320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865364F"/>
    <w:multiLevelType w:val="hybridMultilevel"/>
    <w:tmpl w:val="8B2470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C293EF1"/>
    <w:multiLevelType w:val="hybridMultilevel"/>
    <w:tmpl w:val="B2BC69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1BE4DE0"/>
    <w:multiLevelType w:val="hybridMultilevel"/>
    <w:tmpl w:val="83BC45DA"/>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nsid w:val="21D8215C"/>
    <w:multiLevelType w:val="hybridMultilevel"/>
    <w:tmpl w:val="F8CC72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45592813"/>
    <w:multiLevelType w:val="hybridMultilevel"/>
    <w:tmpl w:val="5B96F33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71174BE7"/>
    <w:multiLevelType w:val="hybridMultilevel"/>
    <w:tmpl w:val="43F0AB8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F7C"/>
    <w:rsid w:val="00007480"/>
    <w:rsid w:val="00022DD7"/>
    <w:rsid w:val="00035BF7"/>
    <w:rsid w:val="00046479"/>
    <w:rsid w:val="00047BD8"/>
    <w:rsid w:val="000B4C9A"/>
    <w:rsid w:val="000B65F8"/>
    <w:rsid w:val="000D3439"/>
    <w:rsid w:val="00134D5A"/>
    <w:rsid w:val="00140AFD"/>
    <w:rsid w:val="001D53EF"/>
    <w:rsid w:val="001D68AD"/>
    <w:rsid w:val="001E4347"/>
    <w:rsid w:val="00210365"/>
    <w:rsid w:val="00215BE4"/>
    <w:rsid w:val="002257C4"/>
    <w:rsid w:val="00253FE8"/>
    <w:rsid w:val="00283BFB"/>
    <w:rsid w:val="0028732A"/>
    <w:rsid w:val="0029536C"/>
    <w:rsid w:val="002F3785"/>
    <w:rsid w:val="00315400"/>
    <w:rsid w:val="0032465D"/>
    <w:rsid w:val="00340A0C"/>
    <w:rsid w:val="00350863"/>
    <w:rsid w:val="00394F57"/>
    <w:rsid w:val="003A63B2"/>
    <w:rsid w:val="003E487C"/>
    <w:rsid w:val="00400C8F"/>
    <w:rsid w:val="0040345A"/>
    <w:rsid w:val="00422A3D"/>
    <w:rsid w:val="0044587A"/>
    <w:rsid w:val="004461B4"/>
    <w:rsid w:val="0045504C"/>
    <w:rsid w:val="00465FF5"/>
    <w:rsid w:val="004667EF"/>
    <w:rsid w:val="004821D2"/>
    <w:rsid w:val="004846FC"/>
    <w:rsid w:val="00490A5A"/>
    <w:rsid w:val="004B196E"/>
    <w:rsid w:val="004B2F29"/>
    <w:rsid w:val="004D5DB3"/>
    <w:rsid w:val="004E23D8"/>
    <w:rsid w:val="00526F00"/>
    <w:rsid w:val="00592565"/>
    <w:rsid w:val="00597D5A"/>
    <w:rsid w:val="005B6AE5"/>
    <w:rsid w:val="005F5495"/>
    <w:rsid w:val="00621D0A"/>
    <w:rsid w:val="00650E5A"/>
    <w:rsid w:val="00655782"/>
    <w:rsid w:val="006D21CA"/>
    <w:rsid w:val="0072396B"/>
    <w:rsid w:val="00767DF6"/>
    <w:rsid w:val="007719C5"/>
    <w:rsid w:val="0079344B"/>
    <w:rsid w:val="00795FB4"/>
    <w:rsid w:val="007A4A23"/>
    <w:rsid w:val="007A4A43"/>
    <w:rsid w:val="007A6CF8"/>
    <w:rsid w:val="007B1CC9"/>
    <w:rsid w:val="007C022B"/>
    <w:rsid w:val="007C05D8"/>
    <w:rsid w:val="007E634C"/>
    <w:rsid w:val="007F18EE"/>
    <w:rsid w:val="007F65BA"/>
    <w:rsid w:val="00810425"/>
    <w:rsid w:val="00864D49"/>
    <w:rsid w:val="008711BC"/>
    <w:rsid w:val="00876F8E"/>
    <w:rsid w:val="008B783F"/>
    <w:rsid w:val="008C5513"/>
    <w:rsid w:val="0095209F"/>
    <w:rsid w:val="00955601"/>
    <w:rsid w:val="0096486C"/>
    <w:rsid w:val="00975F97"/>
    <w:rsid w:val="009A507B"/>
    <w:rsid w:val="009D13EC"/>
    <w:rsid w:val="00A349A1"/>
    <w:rsid w:val="00A44F7C"/>
    <w:rsid w:val="00A6387A"/>
    <w:rsid w:val="00AA4436"/>
    <w:rsid w:val="00AB4A33"/>
    <w:rsid w:val="00AC454B"/>
    <w:rsid w:val="00AD18AC"/>
    <w:rsid w:val="00B10E78"/>
    <w:rsid w:val="00B121E7"/>
    <w:rsid w:val="00B50B0A"/>
    <w:rsid w:val="00B86E28"/>
    <w:rsid w:val="00BB0B40"/>
    <w:rsid w:val="00BC44E7"/>
    <w:rsid w:val="00C043EC"/>
    <w:rsid w:val="00C11C9E"/>
    <w:rsid w:val="00C26E98"/>
    <w:rsid w:val="00C30E0B"/>
    <w:rsid w:val="00C46745"/>
    <w:rsid w:val="00C75972"/>
    <w:rsid w:val="00CB01D8"/>
    <w:rsid w:val="00CD34AC"/>
    <w:rsid w:val="00CE7931"/>
    <w:rsid w:val="00CF5EF5"/>
    <w:rsid w:val="00D138D7"/>
    <w:rsid w:val="00D22011"/>
    <w:rsid w:val="00D446C9"/>
    <w:rsid w:val="00D71F94"/>
    <w:rsid w:val="00D9692D"/>
    <w:rsid w:val="00DA6976"/>
    <w:rsid w:val="00DC61E2"/>
    <w:rsid w:val="00DD4DE9"/>
    <w:rsid w:val="00DF33A7"/>
    <w:rsid w:val="00E14F9E"/>
    <w:rsid w:val="00E245CE"/>
    <w:rsid w:val="00E34E7C"/>
    <w:rsid w:val="00E37EB7"/>
    <w:rsid w:val="00E55F5D"/>
    <w:rsid w:val="00E60A0E"/>
    <w:rsid w:val="00E820F8"/>
    <w:rsid w:val="00ED0FE7"/>
    <w:rsid w:val="00ED55B9"/>
    <w:rsid w:val="00EE32DA"/>
    <w:rsid w:val="00F0138E"/>
    <w:rsid w:val="00F01BB3"/>
    <w:rsid w:val="00F500AC"/>
    <w:rsid w:val="00F76072"/>
    <w:rsid w:val="00F8348E"/>
    <w:rsid w:val="00F84A17"/>
    <w:rsid w:val="00FB0326"/>
    <w:rsid w:val="00FB23A5"/>
    <w:rsid w:val="00FB74E9"/>
    <w:rsid w:val="00FD331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8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7BD8"/>
    <w:pPr>
      <w:ind w:left="720"/>
      <w:contextualSpacing/>
    </w:pPr>
  </w:style>
  <w:style w:type="table" w:styleId="Tablaconcuadrcula">
    <w:name w:val="Table Grid"/>
    <w:basedOn w:val="Tablanormal"/>
    <w:uiPriority w:val="59"/>
    <w:rsid w:val="002873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E32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32DA"/>
  </w:style>
  <w:style w:type="paragraph" w:styleId="Piedepgina">
    <w:name w:val="footer"/>
    <w:basedOn w:val="Normal"/>
    <w:link w:val="PiedepginaCar"/>
    <w:uiPriority w:val="99"/>
    <w:unhideWhenUsed/>
    <w:rsid w:val="00EE32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32DA"/>
  </w:style>
  <w:style w:type="paragraph" w:styleId="Textodeglobo">
    <w:name w:val="Balloon Text"/>
    <w:basedOn w:val="Normal"/>
    <w:link w:val="TextodegloboCar"/>
    <w:uiPriority w:val="99"/>
    <w:semiHidden/>
    <w:unhideWhenUsed/>
    <w:rsid w:val="00F834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34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8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7BD8"/>
    <w:pPr>
      <w:ind w:left="720"/>
      <w:contextualSpacing/>
    </w:pPr>
  </w:style>
  <w:style w:type="table" w:styleId="Tablaconcuadrcula">
    <w:name w:val="Table Grid"/>
    <w:basedOn w:val="Tablanormal"/>
    <w:uiPriority w:val="59"/>
    <w:rsid w:val="002873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E32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32DA"/>
  </w:style>
  <w:style w:type="paragraph" w:styleId="Piedepgina">
    <w:name w:val="footer"/>
    <w:basedOn w:val="Normal"/>
    <w:link w:val="PiedepginaCar"/>
    <w:uiPriority w:val="99"/>
    <w:unhideWhenUsed/>
    <w:rsid w:val="00EE32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32DA"/>
  </w:style>
  <w:style w:type="paragraph" w:styleId="Textodeglobo">
    <w:name w:val="Balloon Text"/>
    <w:basedOn w:val="Normal"/>
    <w:link w:val="TextodegloboCar"/>
    <w:uiPriority w:val="99"/>
    <w:semiHidden/>
    <w:unhideWhenUsed/>
    <w:rsid w:val="00F834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34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0768B-84F2-4B9B-B691-A7F1FCCDA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1586</TotalTime>
  <Pages>30</Pages>
  <Words>8889</Words>
  <Characters>48892</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dc:creator>
  <cp:lastModifiedBy>Marcos</cp:lastModifiedBy>
  <cp:revision>12</cp:revision>
  <dcterms:created xsi:type="dcterms:W3CDTF">2020-05-01T20:27:00Z</dcterms:created>
  <dcterms:modified xsi:type="dcterms:W3CDTF">2020-05-05T17:48:00Z</dcterms:modified>
</cp:coreProperties>
</file>