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58EA23" w14:textId="7848CE0E" w:rsidR="0016011A" w:rsidRDefault="001726BD" w:rsidP="009C2A8E">
      <w:pPr>
        <w:pStyle w:val="Title"/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C163E" wp14:editId="5A4D5902">
            <wp:simplePos x="0" y="0"/>
            <wp:positionH relativeFrom="column">
              <wp:posOffset>4287918</wp:posOffset>
            </wp:positionH>
            <wp:positionV relativeFrom="paragraph">
              <wp:posOffset>1473443</wp:posOffset>
            </wp:positionV>
            <wp:extent cx="1899869" cy="1715092"/>
            <wp:effectExtent l="304800" t="304800" r="329565" b="323850"/>
            <wp:wrapNone/>
            <wp:docPr id="638413373" name="Picture 1" descr="Vinculación - Instituto de Cál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ulación - Instituto de Cálcul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69" cy="1715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4A9">
        <w:rPr>
          <w:lang w:val="es-ES"/>
        </w:rPr>
        <w:t>Manual de técnicas y procedimientos del HNRG para atención por Enfermería de Quemaduras y Heridas Complejas</w:t>
      </w:r>
      <w:r w:rsidR="00922B52">
        <w:rPr>
          <w:lang w:val="es-ES"/>
        </w:rPr>
        <w:t>:</w:t>
      </w:r>
    </w:p>
    <w:p w14:paraId="6D1AE667" w14:textId="08B3E445" w:rsidR="00922B52" w:rsidRDefault="00922B52">
      <w:pPr>
        <w:rPr>
          <w:lang w:val="es-ES"/>
        </w:rPr>
      </w:pPr>
    </w:p>
    <w:p w14:paraId="5BB85A4B" w14:textId="77777777" w:rsidR="0031714E" w:rsidRDefault="0031714E" w:rsidP="009C2A8E">
      <w:pPr>
        <w:pStyle w:val="Subtitle"/>
        <w:rPr>
          <w:lang w:val="es-ES"/>
        </w:rPr>
      </w:pPr>
    </w:p>
    <w:p w14:paraId="4D92DE53" w14:textId="77777777" w:rsidR="0031714E" w:rsidRDefault="0031714E" w:rsidP="009C2A8E">
      <w:pPr>
        <w:pStyle w:val="Subtitle"/>
        <w:rPr>
          <w:lang w:val="es-ES"/>
        </w:rPr>
      </w:pPr>
    </w:p>
    <w:p w14:paraId="2B4C6202" w14:textId="77777777" w:rsidR="0031714E" w:rsidRDefault="0031714E" w:rsidP="009C2A8E">
      <w:pPr>
        <w:pStyle w:val="Subtitle"/>
        <w:rPr>
          <w:lang w:val="es-ES"/>
        </w:rPr>
      </w:pPr>
    </w:p>
    <w:p w14:paraId="3C05E545" w14:textId="1667E86D" w:rsidR="00922B52" w:rsidRDefault="00922B52" w:rsidP="009C2A8E">
      <w:pPr>
        <w:pStyle w:val="Subtitle"/>
        <w:rPr>
          <w:lang w:val="es-ES"/>
        </w:rPr>
      </w:pPr>
      <w:r>
        <w:rPr>
          <w:lang w:val="es-ES"/>
        </w:rPr>
        <w:t xml:space="preserve">Diagnóstico: </w:t>
      </w:r>
    </w:p>
    <w:p w14:paraId="4EBB3888" w14:textId="5780A2C0" w:rsidR="009C2A8E" w:rsidRPr="009C2A8E" w:rsidRDefault="009C2A8E" w:rsidP="009C2A8E">
      <w:pPr>
        <w:rPr>
          <w:lang w:val="es-ES"/>
        </w:rPr>
      </w:pPr>
      <w:r>
        <w:rPr>
          <w:lang w:val="es-ES"/>
        </w:rPr>
        <w:t>QUEMADURA:</w:t>
      </w:r>
    </w:p>
    <w:p w14:paraId="4939589D" w14:textId="24FC6E24" w:rsidR="00922B52" w:rsidRDefault="00922B52" w:rsidP="00922B52">
      <w:r>
        <w:t>La quemadura constituye una lesión tisular que puede estar causada por diferentes tipos de agresiones, como la energía térmica,</w:t>
      </w:r>
      <w:r w:rsidR="009C2A8E">
        <w:t xml:space="preserve"> CINÉTICA,</w:t>
      </w:r>
      <w:r>
        <w:t xml:space="preserve"> eléctrica, las sustancias químicas y la radiación. La gravedad de las lesiones estará determinada por el agente causal, el tiempo de exposición, la superficie corporal afectada y la profundidad de las quemaduras.</w:t>
      </w:r>
    </w:p>
    <w:p w14:paraId="380962FE" w14:textId="77777777" w:rsidR="00922B52" w:rsidRDefault="00922B52" w:rsidP="00922B52"/>
    <w:p w14:paraId="5B276996" w14:textId="77777777" w:rsidR="00922B52" w:rsidRDefault="00922B52" w:rsidP="009C2A8E">
      <w:pPr>
        <w:pStyle w:val="Subtitle"/>
      </w:pPr>
      <w:r>
        <w:t>Valoración:</w:t>
      </w:r>
    </w:p>
    <w:p w14:paraId="4055381C" w14:textId="77777777" w:rsidR="009C2A8E" w:rsidRDefault="00922B52" w:rsidP="00922B52">
      <w:r>
        <w:t xml:space="preserve"> La evaluación correcta de las quemaduras va a reflejar la gravedad del caso y el plan de atención a seguir. </w:t>
      </w:r>
      <w:r w:rsidR="009C2A8E">
        <w:t xml:space="preserve"> </w:t>
      </w:r>
      <w:r>
        <w:t xml:space="preserve">Valorar la extensión y profundidad de las quemaduras nos permite categorizar el riesgo de vida del niño </w:t>
      </w:r>
      <w:r w:rsidR="009C2A8E">
        <w:t>de acuerdo con</w:t>
      </w:r>
      <w:r>
        <w:t xml:space="preserve"> </w:t>
      </w:r>
      <w:r w:rsidR="009C2A8E">
        <w:t xml:space="preserve">las escalas de gravedad. </w:t>
      </w:r>
    </w:p>
    <w:p w14:paraId="51039165" w14:textId="7D4D443F" w:rsidR="0031714E" w:rsidRDefault="009C2A8E" w:rsidP="00922B52">
      <w:r>
        <w:t xml:space="preserve">En nuestro país utilizamos generalmente dos escalas de gravedad: la tabla de </w:t>
      </w:r>
      <w:proofErr w:type="spellStart"/>
      <w:r>
        <w:t>Benaim</w:t>
      </w:r>
      <w:proofErr w:type="spellEnd"/>
      <w:r>
        <w:t xml:space="preserve"> y </w:t>
      </w:r>
      <w:r w:rsidR="0031714E">
        <w:t>el Índice</w:t>
      </w:r>
      <w:r>
        <w:t xml:space="preserve"> de Gravedad de Garcés. (tablas I y II)</w:t>
      </w:r>
    </w:p>
    <w:p w14:paraId="08BE75E2" w14:textId="77777777" w:rsidR="0031714E" w:rsidRDefault="0031714E" w:rsidP="00922B52"/>
    <w:p w14:paraId="42133DAE" w14:textId="730F27A5" w:rsidR="0031714E" w:rsidRDefault="0031714E" w:rsidP="00922B52">
      <w:r w:rsidRPr="0031714E">
        <w:rPr>
          <w:noProof/>
        </w:rPr>
        <w:drawing>
          <wp:inline distT="0" distB="0" distL="0" distR="0" wp14:anchorId="2770E346" wp14:editId="68926A55">
            <wp:extent cx="5400040" cy="1923415"/>
            <wp:effectExtent l="0" t="0" r="0" b="635"/>
            <wp:docPr id="1263218560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18560" name="Picture 1" descr="A table with numbers and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C760" w14:textId="77777777" w:rsidR="0031714E" w:rsidRDefault="0031714E" w:rsidP="00922B52"/>
    <w:p w14:paraId="64CE67EC" w14:textId="77777777" w:rsidR="0031714E" w:rsidRDefault="0031714E" w:rsidP="00922B52">
      <w:r>
        <w:rPr>
          <w:noProof/>
        </w:rPr>
        <w:lastRenderedPageBreak/>
        <w:drawing>
          <wp:inline distT="0" distB="0" distL="0" distR="0" wp14:anchorId="37BDA895" wp14:editId="63607604">
            <wp:extent cx="2586852" cy="3031206"/>
            <wp:effectExtent l="0" t="0" r="4445" b="0"/>
            <wp:docPr id="225648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/>
                    <a:stretch/>
                  </pic:blipFill>
                  <pic:spPr bwMode="auto">
                    <a:xfrm>
                      <a:off x="0" y="0"/>
                      <a:ext cx="2615558" cy="30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5C8DFE6F" w14:textId="5D75A8F1" w:rsidR="0031714E" w:rsidRDefault="0031714E" w:rsidP="00922B52">
      <w:r>
        <w:t>Tabla II. Índice de gravedad según Garcés.</w:t>
      </w:r>
    </w:p>
    <w:p w14:paraId="62F1B714" w14:textId="77777777" w:rsidR="0031714E" w:rsidRDefault="0031714E" w:rsidP="00922B52">
      <w:pPr>
        <w:rPr>
          <w:b/>
          <w:bCs/>
        </w:rPr>
      </w:pPr>
    </w:p>
    <w:p w14:paraId="689C8FE6" w14:textId="2C58BA59" w:rsidR="009C2A8E" w:rsidRDefault="00922B52" w:rsidP="00922B52">
      <w:r w:rsidRPr="009C2A8E">
        <w:rPr>
          <w:b/>
          <w:bCs/>
        </w:rPr>
        <w:t>Extensión</w:t>
      </w:r>
      <w:r w:rsidR="009C2A8E" w:rsidRPr="009C2A8E">
        <w:rPr>
          <w:b/>
          <w:bCs/>
        </w:rPr>
        <w:t>:</w:t>
      </w:r>
      <w:r w:rsidR="009C2A8E">
        <w:t xml:space="preserve"> </w:t>
      </w:r>
    </w:p>
    <w:p w14:paraId="39A94359" w14:textId="515CB610" w:rsidR="00922B52" w:rsidRDefault="009C2A8E" w:rsidP="00922B52">
      <w:r>
        <w:t>Para</w:t>
      </w:r>
      <w:r w:rsidR="00922B52">
        <w:t xml:space="preserve"> hacer </w:t>
      </w:r>
      <w:r w:rsidR="008D3288">
        <w:t>el</w:t>
      </w:r>
      <w:r w:rsidR="00922B52">
        <w:t xml:space="preserve"> cálculo sobre el porcentaje de superficie corporal quemada del </w:t>
      </w:r>
      <w:r w:rsidR="008D3288">
        <w:t xml:space="preserve">paciente que ingresa </w:t>
      </w:r>
      <w:r w:rsidR="00922B52">
        <w:t>a nuestra institución, es necesario evaluarlo con detenimiento: despojarlo de vestimentas, vendajes y tópicos para valorar con mayor precisión el porcentaje</w:t>
      </w:r>
      <w:r>
        <w:t xml:space="preserve">. </w:t>
      </w:r>
    </w:p>
    <w:p w14:paraId="53718779" w14:textId="4B2A1F2F" w:rsidR="008D3288" w:rsidRDefault="008D3288" w:rsidP="00922B52">
      <w:r>
        <w:t xml:space="preserve">Existen también distintos métodos para medir la Superficie corporal Quemada: </w:t>
      </w:r>
    </w:p>
    <w:p w14:paraId="248D1E4B" w14:textId="3AF9FE4E" w:rsidR="008D3288" w:rsidRDefault="008D3288" w:rsidP="00922B52">
      <w:r>
        <w:rPr>
          <w:noProof/>
        </w:rPr>
        <w:drawing>
          <wp:inline distT="0" distB="0" distL="0" distR="0" wp14:anchorId="48352088" wp14:editId="55A23EE8">
            <wp:extent cx="2386854" cy="1032845"/>
            <wp:effectExtent l="0" t="0" r="0" b="0"/>
            <wp:docPr id="2066417750" name="Picture 3" descr="Leo COSCARELLI .-&#10;PORCENTAJE SEGÚN LA EDAD DE LUND Y BROWDER&#10;MAPEO Y RE-MAPEO&#10;Se dispone de dos gráficos corporales (anterior y posterior) y se dibujan las&#10;áreas quemadas, pintando las celdas con una trama característica, inter.-&#10;nacionalmente dispuesta para A ERITEMATOSA ( punteado ) A FLIC-&#10;TENULAR ( rayas oblicuas ) AB (trama romboidal ) y B ( todo pintado ).&#10;EJEMPLO :&#10;Paciente que sufre quemadura total del brazo derecho: tipo A eritematosa, antebrazo&#10;derecho anterior A flictenular, quemadura A eritematosa de cara, quemadura AB de muslo&#10;derecho anterior y región glútea homolateral y quemadura B de ambas rodillas y dorso de&#10;pie izquierdo.&#10;A,erit&#10;A, flict&#10;AB&#10;B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o COSCARELLI .-&#10;PORCENTAJE SEGÚN LA EDAD DE LUND Y BROWDER&#10;MAPEO Y RE-MAPEO&#10;Se dispone de dos gráficos corporales (anterior y posterior) y se dibujan las&#10;áreas quemadas, pintando las celdas con una trama característica, inter.-&#10;nacionalmente dispuesta para A ERITEMATOSA ( punteado ) A FLIC-&#10;TENULAR ( rayas oblicuas ) AB (trama romboidal ) y B ( todo pintado ).&#10;EJEMPLO :&#10;Paciente que sufre quemadura total del brazo derecho: tipo A eritematosa, antebrazo&#10;derecho anterior A flictenular, quemadura A eritematosa de cara, quemadura AB de muslo&#10;derecho anterior y región glútea homolateral y quemadura B de ambas rodillas y dorso de&#10;pie izquierdo.&#10;A,erit&#10;A, flict&#10;AB&#10;B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8402" r="11784" b="65397"/>
                    <a:stretch/>
                  </pic:blipFill>
                  <pic:spPr bwMode="auto">
                    <a:xfrm>
                      <a:off x="0" y="0"/>
                      <a:ext cx="2389946" cy="10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234">
        <w:t xml:space="preserve"> Tabla III. Lund y </w:t>
      </w:r>
      <w:proofErr w:type="spellStart"/>
      <w:r w:rsidR="007F0234">
        <w:t>Browder</w:t>
      </w:r>
      <w:proofErr w:type="spellEnd"/>
      <w:r w:rsidR="007F0234">
        <w:t>.</w:t>
      </w:r>
    </w:p>
    <w:p w14:paraId="74BBC8E2" w14:textId="77777777" w:rsidR="007F0234" w:rsidRDefault="007F0234" w:rsidP="00922B52"/>
    <w:p w14:paraId="71C9747A" w14:textId="5816708B" w:rsidR="007F0234" w:rsidRDefault="007F0234" w:rsidP="00922B52">
      <w:r>
        <w:rPr>
          <w:noProof/>
        </w:rPr>
        <w:drawing>
          <wp:inline distT="0" distB="0" distL="0" distR="0" wp14:anchorId="58573C77" wp14:editId="671A3C11">
            <wp:extent cx="2184137" cy="1681337"/>
            <wp:effectExtent l="0" t="0" r="6985" b="0"/>
            <wp:docPr id="575758010" name="Picture 1" descr="Leo COSCARELLI .-&#10;DETERMINACIÓN DE LA EXTENSIÓN&#10;ANT Y POST&#10;REGLA DE LOS NUEVES&#10;(Paulansky-Tennison )&#10;18 18&#10;4,5 4,5 4,5 4,5&#10;9 9&#10;TRONCO 36%&#10;CABEZA 9 %&#10;MIEMBRO SUPERIOR 9 % (x2)&#10;(3-3-3)&#10;MIEMBRO INFERIOR 18 %(x2)&#10;(9-6-3)&#10;GENITALES 1 %&#10;1&#10;9 9&#10;4,5 4.5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 COSCARELLI .-&#10;DETERMINACIÓN DE LA EXTENSIÓN&#10;ANT Y POST&#10;REGLA DE LOS NUEVES&#10;(Paulansky-Tennison )&#10;18 18&#10;4,5 4,5 4,5 4,5&#10;9 9&#10;TRONCO 36%&#10;CABEZA 9 %&#10;MIEMBRO SUPERIOR 9 % (x2)&#10;(3-3-3)&#10;MIEMBRO INFERIOR 18 %(x2)&#10;(9-6-3)&#10;GENITALES 1 %&#10;1&#10;9 9&#10;4,5 4.5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b="33368"/>
                    <a:stretch/>
                  </pic:blipFill>
                  <pic:spPr bwMode="auto">
                    <a:xfrm>
                      <a:off x="0" y="0"/>
                      <a:ext cx="2194425" cy="16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Tabla III. </w:t>
      </w:r>
      <w:proofErr w:type="spellStart"/>
      <w:r>
        <w:t>Pulansky</w:t>
      </w:r>
      <w:proofErr w:type="spellEnd"/>
      <w:r>
        <w:t xml:space="preserve"> y </w:t>
      </w:r>
      <w:proofErr w:type="spellStart"/>
      <w:r>
        <w:t>Tennison</w:t>
      </w:r>
      <w:proofErr w:type="spellEnd"/>
      <w:r>
        <w:t xml:space="preserve"> (adultos)</w:t>
      </w:r>
    </w:p>
    <w:p w14:paraId="0AC2CD57" w14:textId="77777777" w:rsidR="007F0234" w:rsidRDefault="007F0234" w:rsidP="00922B52"/>
    <w:p w14:paraId="7ACF6BCD" w14:textId="4D18112A" w:rsidR="007F0234" w:rsidRDefault="007F0234" w:rsidP="00922B52">
      <w:r>
        <w:t xml:space="preserve">La técnica de </w:t>
      </w:r>
      <w:proofErr w:type="spellStart"/>
      <w:r>
        <w:t>Pulansky</w:t>
      </w:r>
      <w:proofErr w:type="spellEnd"/>
      <w:r>
        <w:t xml:space="preserve"> y </w:t>
      </w:r>
      <w:proofErr w:type="spellStart"/>
      <w:r>
        <w:t>Tennison</w:t>
      </w:r>
      <w:proofErr w:type="spellEnd"/>
      <w:r>
        <w:t xml:space="preserve"> es útil para adultos y niños mayores de 15 años. No se utiliza en niños pequeños.  </w:t>
      </w:r>
    </w:p>
    <w:p w14:paraId="595B2ECD" w14:textId="4A25F6C2" w:rsidR="007F0234" w:rsidRDefault="007F0234" w:rsidP="00922B52">
      <w:r w:rsidRPr="007F0234">
        <w:rPr>
          <w:noProof/>
        </w:rPr>
        <w:lastRenderedPageBreak/>
        <w:drawing>
          <wp:inline distT="0" distB="0" distL="0" distR="0" wp14:anchorId="7294DEA7" wp14:editId="76EF01D3">
            <wp:extent cx="4742561" cy="2227398"/>
            <wp:effectExtent l="0" t="0" r="1270" b="1905"/>
            <wp:docPr id="436870464" name="Picture 1" descr="A person standing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0464" name="Picture 1" descr="A person standing on a white su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684" cy="22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4BBA20" w14:textId="2A2C345D" w:rsidR="007F0234" w:rsidRDefault="007F0234" w:rsidP="00922B52">
      <w:r>
        <w:t xml:space="preserve">La superficie de la cara palmar DEL </w:t>
      </w:r>
      <w:r w:rsidR="00BD0732">
        <w:t>PACIENTE</w:t>
      </w:r>
      <w:r>
        <w:t xml:space="preserve"> es una forma simple de calcular la Superficie Corporal Quemada.</w:t>
      </w:r>
    </w:p>
    <w:p w14:paraId="05EE4A8E" w14:textId="41824142" w:rsidR="0031714E" w:rsidRDefault="00BD0732" w:rsidP="0031714E">
      <w:r>
        <w:t xml:space="preserve">La </w:t>
      </w:r>
      <w:r w:rsidR="0031714E">
        <w:t xml:space="preserve">valoración </w:t>
      </w:r>
      <w:r>
        <w:t>de la SCQ necesaria</w:t>
      </w:r>
      <w:r w:rsidR="0031714E">
        <w:t xml:space="preserve"> para calcular la cantidad de líquidos requeridos durante la reanimación del niño.</w:t>
      </w:r>
    </w:p>
    <w:p w14:paraId="6BDE48AA" w14:textId="1869DECF" w:rsidR="00BD0732" w:rsidRDefault="00BD0732" w:rsidP="0031714E">
      <w:r>
        <w:t>Profundidad:</w:t>
      </w:r>
    </w:p>
    <w:p w14:paraId="6DEA6B8C" w14:textId="7BEA12F1" w:rsidR="00BD0732" w:rsidRDefault="00BD0732" w:rsidP="0031714E">
      <w:r>
        <w:t>Dependerá del agente causal y del tiempo de exposición, pero también de factores intrínsecos del paciente y de la efectividad en el cuidado y atención médica.</w:t>
      </w:r>
    </w:p>
    <w:p w14:paraId="6A4F3FBE" w14:textId="77777777" w:rsidR="00BD0732" w:rsidRDefault="00BD0732" w:rsidP="0031714E"/>
    <w:p w14:paraId="70AAFE7F" w14:textId="165FF233" w:rsidR="00BD0732" w:rsidRDefault="00BD0732" w:rsidP="0031714E">
      <w:r>
        <w:rPr>
          <w:noProof/>
        </w:rPr>
        <w:drawing>
          <wp:inline distT="0" distB="0" distL="0" distR="0" wp14:anchorId="215B1DFB" wp14:editId="71DBBFF4">
            <wp:extent cx="3221990" cy="2606040"/>
            <wp:effectExtent l="0" t="0" r="0" b="3810"/>
            <wp:docPr id="1140432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46F6" w14:textId="77777777" w:rsidR="009C2A8E" w:rsidRDefault="009C2A8E" w:rsidP="00922B52"/>
    <w:p w14:paraId="2D899064" w14:textId="77777777" w:rsidR="00922B52" w:rsidRDefault="00922B52" w:rsidP="00922B52">
      <w:r>
        <w:t>Tipos de quemaduras:</w:t>
      </w:r>
    </w:p>
    <w:p w14:paraId="117504C1" w14:textId="77777777" w:rsidR="00922B52" w:rsidRDefault="00922B52" w:rsidP="00922B52">
      <w:r>
        <w:t xml:space="preserve">es importante tener en cuenta los siguientes aspectos procedimentales: </w:t>
      </w:r>
    </w:p>
    <w:p w14:paraId="51440AF9" w14:textId="77777777" w:rsidR="00922B52" w:rsidRDefault="00922B52" w:rsidP="00922B52">
      <w:r>
        <w:t xml:space="preserve">• La recepción de todo paciente quemado grave debe contar con una metodología de trabajo que permita establecer un orden de prioridades. </w:t>
      </w:r>
    </w:p>
    <w:p w14:paraId="3A65C867" w14:textId="77777777" w:rsidR="00922B52" w:rsidRDefault="00922B52" w:rsidP="00922B52">
      <w:r>
        <w:t>• Las primeras horas de atención son decisivas en el pronóstico de vida.</w:t>
      </w:r>
    </w:p>
    <w:p w14:paraId="6DC5D801" w14:textId="77777777" w:rsidR="00922B52" w:rsidRDefault="00922B52" w:rsidP="00922B52"/>
    <w:p w14:paraId="16EE3E23" w14:textId="6B44DC99" w:rsidR="0001610B" w:rsidRDefault="0001610B" w:rsidP="00922B52">
      <w:r>
        <w:rPr>
          <w:noProof/>
        </w:rPr>
        <w:lastRenderedPageBreak/>
        <w:drawing>
          <wp:inline distT="0" distB="0" distL="0" distR="0" wp14:anchorId="38BBE06E" wp14:editId="0CD82C6E">
            <wp:extent cx="3046596" cy="3430184"/>
            <wp:effectExtent l="0" t="0" r="1905" b="0"/>
            <wp:docPr id="1918140876" name="Picture 3" descr="Leo COSCARELLI .-&#10;QUEMADURA EN&#10;ZONAS ESPECIALES&#10;CARA&#10;AXILA&#10;GENITALES&#10;MANOS&#10;PIES&#10;DIABETES&#10;INMUNOSUPRESIÓN&#10;DESNUTRICIÓN&#10;SIDA&#10;EPILEPSIA&#10;PATOLOGÍA NEUROLÓGICA&#10;CARDIOPATIA SEVERA&#10;VALVULOPATIA SEVERA&#10;CRISIS HIPERTENSIVA&#10;AFEC PULMONAR SEVERA&#10;ULCERA GASTRODUODENAL&#10;CANCER&#10;INSUFICIENCIA RENAL&#10;HIPO O HIPERTIROIDISMO&#10;AFECCIÓN ENDOCRINA IMP.&#10;“ EMBARAZO “&#10;ENFERMEDADES PREVIAS&#10;LESIONES CONCOMITANTES&#10;PARO CARDIORRESPIRATORIO&#10;TRAUMATISMO DE CRÁNEO&#10;FRACTURAS&#10;HERIDAS CUTÁNEAS&#10;TRAUMA DE TORAX&#10;PATOLOGÍA ESPACIO PLEURAL&#10;TRAUMA DE ABDOMEN&#10;LESION DE VISCERA ABD.&#10;CARBON EN BOCA&#10;ESPUTO CARBONACEO&#10;AFECCION VIBRIZAS&#10;PERIORIFICIAL&#10;AMBIENTE CERRADO&#10;ESTRIDOR LARINGEO&#10;LESION VIA AEREA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 COSCARELLI .-&#10;QUEMADURA EN&#10;ZONAS ESPECIALES&#10;CARA&#10;AXILA&#10;GENITALES&#10;MANOS&#10;PIES&#10;DIABETES&#10;INMUNOSUPRESIÓN&#10;DESNUTRICIÓN&#10;SIDA&#10;EPILEPSIA&#10;PATOLOGÍA NEUROLÓGICA&#10;CARDIOPATIA SEVERA&#10;VALVULOPATIA SEVERA&#10;CRISIS HIPERTENSIVA&#10;AFEC PULMONAR SEVERA&#10;ULCERA GASTRODUODENAL&#10;CANCER&#10;INSUFICIENCIA RENAL&#10;HIPO O HIPERTIROIDISMO&#10;AFECCIÓN ENDOCRINA IMP.&#10;“ EMBARAZO “&#10;ENFERMEDADES PREVIAS&#10;LESIONES CONCOMITANTES&#10;PARO CARDIORRESPIRATORIO&#10;TRAUMATISMO DE CRÁNEO&#10;FRACTURAS&#10;HERIDAS CUTÁNEAS&#10;TRAUMA DE TORAX&#10;PATOLOGÍA ESPACIO PLEURAL&#10;TRAUMA DE ABDOMEN&#10;LESION DE VISCERA ABD.&#10;CARBON EN BOCA&#10;ESPUTO CARBONACEO&#10;AFECCION VIBRIZAS&#10;PERIORIFICIAL&#10;AMBIENTE CERRADO&#10;ESTRIDOR LARINGEO&#10;LESION VIA AEREA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 b="6117"/>
                    <a:stretch/>
                  </pic:blipFill>
                  <pic:spPr bwMode="auto">
                    <a:xfrm>
                      <a:off x="0" y="0"/>
                      <a:ext cx="3046730" cy="34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Quemaduras en Zonas Especiales. </w:t>
      </w:r>
    </w:p>
    <w:p w14:paraId="59FC8E3B" w14:textId="5B02D690" w:rsidR="00922B52" w:rsidRDefault="00922B52" w:rsidP="00922B52">
      <w:r>
        <w:t xml:space="preserve">RECEPCIÓN ENUTI. Equipo: </w:t>
      </w:r>
    </w:p>
    <w:p w14:paraId="48E94E9E" w14:textId="77777777" w:rsidR="00922B52" w:rsidRDefault="00922B52" w:rsidP="00922B52">
      <w:r>
        <w:t>• Cama funcional, monitor multiparamétrico.</w:t>
      </w:r>
    </w:p>
    <w:p w14:paraId="3979CD6E" w14:textId="77777777" w:rsidR="00922B52" w:rsidRDefault="00922B52" w:rsidP="00922B52">
      <w:r>
        <w:t xml:space="preserve"> • Estetoscopio, </w:t>
      </w:r>
      <w:proofErr w:type="spellStart"/>
      <w:r>
        <w:t>ambú</w:t>
      </w:r>
      <w:proofErr w:type="spellEnd"/>
      <w:r>
        <w:t xml:space="preserve">, máscara apropiada, tres bombas de infusión. </w:t>
      </w:r>
    </w:p>
    <w:p w14:paraId="10CABA1F" w14:textId="77777777" w:rsidR="00922B52" w:rsidRDefault="00922B52" w:rsidP="00922B52">
      <w:r>
        <w:t xml:space="preserve">• Respirador artificial y circuitos adecuados para el niño. </w:t>
      </w:r>
    </w:p>
    <w:p w14:paraId="4C5303D7" w14:textId="77777777" w:rsidR="00922B52" w:rsidRDefault="00922B52" w:rsidP="00922B52">
      <w:r>
        <w:t xml:space="preserve">• Jeringas, aguja y demás material descartable. </w:t>
      </w:r>
    </w:p>
    <w:p w14:paraId="27C71B02" w14:textId="77777777" w:rsidR="00922B52" w:rsidRDefault="00922B52" w:rsidP="00922B52">
      <w:r>
        <w:t xml:space="preserve">• Drogas para procedimiento médico de intubación </w:t>
      </w:r>
      <w:proofErr w:type="gramStart"/>
      <w:r>
        <w:t>oro-traqueal</w:t>
      </w:r>
      <w:proofErr w:type="gramEnd"/>
      <w:r>
        <w:t xml:space="preserve"> (fentanilo, </w:t>
      </w:r>
      <w:proofErr w:type="spellStart"/>
      <w:r>
        <w:t>midazolan</w:t>
      </w:r>
      <w:proofErr w:type="spellEnd"/>
      <w:r>
        <w:t xml:space="preserve">, ketamina, morfina y vecuronio). </w:t>
      </w:r>
    </w:p>
    <w:p w14:paraId="1C63F5A5" w14:textId="77777777" w:rsidR="00922B52" w:rsidRDefault="00922B52" w:rsidP="00922B52">
      <w:r>
        <w:t xml:space="preserve">• Selección de tubo traqueal según fórmula (edad en años + 16 /4), laringoscopio con ramas curvas y rectas. </w:t>
      </w:r>
    </w:p>
    <w:p w14:paraId="41D36D38" w14:textId="77777777" w:rsidR="00922B52" w:rsidRDefault="00922B52" w:rsidP="00922B52">
      <w:r>
        <w:t xml:space="preserve">• Materiales necesarios para colocación de catéter venoso central. </w:t>
      </w:r>
    </w:p>
    <w:p w14:paraId="6711D29C" w14:textId="77777777" w:rsidR="00922B52" w:rsidRDefault="00922B52" w:rsidP="00922B52">
      <w:r>
        <w:t xml:space="preserve">• Antisépticos (solución clorhexidina al 2%). </w:t>
      </w:r>
    </w:p>
    <w:p w14:paraId="31C99FA3" w14:textId="77777777" w:rsidR="00922B52" w:rsidRDefault="00922B52" w:rsidP="00922B52">
      <w:r>
        <w:t xml:space="preserve">• Material para colocación de sonda vesical-sonda nasogástrica. </w:t>
      </w:r>
    </w:p>
    <w:p w14:paraId="1EFDF873" w14:textId="77777777" w:rsidR="00922B52" w:rsidRDefault="00922B52" w:rsidP="00922B52">
      <w:r>
        <w:t>• Carro de urgencias.</w:t>
      </w:r>
    </w:p>
    <w:p w14:paraId="10310B27" w14:textId="77777777" w:rsidR="00922B52" w:rsidRDefault="00922B52" w:rsidP="00922B52"/>
    <w:p w14:paraId="4485938F" w14:textId="77777777" w:rsidR="00922B52" w:rsidRPr="00922B52" w:rsidRDefault="00922B52" w:rsidP="00922B52">
      <w:pPr>
        <w:rPr>
          <w:b/>
        </w:rPr>
      </w:pPr>
      <w:r w:rsidRPr="00922B52">
        <w:rPr>
          <w:b/>
        </w:rPr>
        <w:t xml:space="preserve">Frente a quemaduras químicas </w:t>
      </w:r>
    </w:p>
    <w:p w14:paraId="537ABE39" w14:textId="77777777" w:rsidR="00922B52" w:rsidRDefault="00922B52" w:rsidP="00922B52">
      <w:r>
        <w:t xml:space="preserve">• Desnudar al paciente tan pronto como sea posible. </w:t>
      </w:r>
    </w:p>
    <w:p w14:paraId="26E0726A" w14:textId="77777777" w:rsidR="00922B52" w:rsidRDefault="00922B52" w:rsidP="00922B52">
      <w:r>
        <w:t xml:space="preserve">• La irrigación copiosa con agua es la clave del tratamiento inicial. </w:t>
      </w:r>
    </w:p>
    <w:p w14:paraId="0B9220F5" w14:textId="77777777" w:rsidR="00922B52" w:rsidRDefault="00922B52" w:rsidP="00922B52">
      <w:r>
        <w:t xml:space="preserve">• El daño tisular depende de la concentración del agente y la duración de la exposición. Por tanto, siempre que sea posible, es preferible la irrigación copiosa en el lugar del accidente antes del traslado a un servicio de urgencias. </w:t>
      </w:r>
    </w:p>
    <w:p w14:paraId="0006FF52" w14:textId="77777777" w:rsidR="00922B52" w:rsidRDefault="00922B52" w:rsidP="00922B52">
      <w:r>
        <w:lastRenderedPageBreak/>
        <w:t xml:space="preserve">• Importante: sumergir en agua al paciente sólo dispersará y diseminará la noxa en el cuerpo de la víctima, agravando y aumentando la superficie corporal quemada. Frente a quemaduras eléctricas. • De ser posible, identificar y desconectar la corriente; retirar al paciente de la red utilizando material no conductor (madera o cuero). </w:t>
      </w:r>
    </w:p>
    <w:p w14:paraId="277D95A0" w14:textId="77777777" w:rsidR="00922B52" w:rsidRDefault="00922B52" w:rsidP="00922B52">
      <w:r>
        <w:t xml:space="preserve">• Dependiendo de la tensión eléctrica, este tipo de quemaduras puede causar: fibrilación ventricular, paro </w:t>
      </w:r>
      <w:proofErr w:type="spellStart"/>
      <w:r>
        <w:t>cardiorespiratorio</w:t>
      </w:r>
      <w:proofErr w:type="spellEnd"/>
      <w:r>
        <w:t xml:space="preserve">, quemaduras dérmicas con puerta de entrada y/o salida, y ocasionar la muerte. </w:t>
      </w:r>
    </w:p>
    <w:p w14:paraId="17E1F4BE" w14:textId="77777777" w:rsidR="00922B52" w:rsidRDefault="00922B52" w:rsidP="00922B52">
      <w:r>
        <w:t xml:space="preserve">• Asegurar una buena ventilación administrando oxígeno al 100%. </w:t>
      </w:r>
    </w:p>
    <w:p w14:paraId="5276E76D" w14:textId="77777777" w:rsidR="00922B52" w:rsidRDefault="00922B52" w:rsidP="00922B52">
      <w:r>
        <w:t xml:space="preserve">• Si bien no pueden utilizarse las fórmulas corrientes de medición, debido a la imposibilidad de calcular la extensión del tejido lesionado, debe hidratarse con Ringer lactato o en su defecto solución fisiológica, hasta lograr un ritmo diurético de 1,5 a 2 ml/kg/hora. </w:t>
      </w:r>
    </w:p>
    <w:p w14:paraId="36992899" w14:textId="77777777" w:rsidR="00922B52" w:rsidRDefault="00922B52" w:rsidP="00922B52">
      <w:r>
        <w:t xml:space="preserve">• Se debe tratar de valorar el trayecto de la corriente (puerta de entrada y de salida). </w:t>
      </w:r>
    </w:p>
    <w:p w14:paraId="2CB753EB" w14:textId="77777777" w:rsidR="00922B52" w:rsidRDefault="00922B52" w:rsidP="00922B52">
      <w:r>
        <w:t xml:space="preserve">• Evaluar el sistema nervioso central y buscar deficiencias neurológicas; examinar ojos y oídos; evaluar la función </w:t>
      </w:r>
      <w:proofErr w:type="spellStart"/>
      <w:r>
        <w:t>cardiorespiratoria</w:t>
      </w:r>
      <w:proofErr w:type="spellEnd"/>
      <w:r>
        <w:t xml:space="preserve"> (mantener control electrocardiográfico continuo). </w:t>
      </w:r>
    </w:p>
    <w:p w14:paraId="101B2C26" w14:textId="77777777" w:rsidR="00922B52" w:rsidRDefault="00922B52" w:rsidP="00922B52">
      <w:r>
        <w:t>• Evaluar extremidades para detectar problemas compartimentales.</w:t>
      </w:r>
    </w:p>
    <w:p w14:paraId="7D79761B" w14:textId="77777777" w:rsidR="00922B52" w:rsidRDefault="00922B52" w:rsidP="00922B52">
      <w:r w:rsidRPr="00922B52">
        <w:rPr>
          <w:b/>
        </w:rPr>
        <w:t>Frente a quemaduras por fuego.</w:t>
      </w:r>
      <w:r>
        <w:t xml:space="preserve"> </w:t>
      </w:r>
    </w:p>
    <w:p w14:paraId="37B4F4E0" w14:textId="77777777" w:rsidR="00922B52" w:rsidRDefault="00922B52" w:rsidP="00922B52">
      <w:r>
        <w:t xml:space="preserve">• La prioridad es extinguir la llama, haciendo rodar al paciente por el suelo, aplicando mantas o abrigos o utilizando agua o espuma antiincendios. </w:t>
      </w:r>
    </w:p>
    <w:p w14:paraId="34231403" w14:textId="77777777" w:rsidR="00922B52" w:rsidRDefault="00922B52" w:rsidP="00922B52">
      <w:r>
        <w:t xml:space="preserve">• La segunda prioridad es facilitar el enfriamiento. Esto se consigue mediante agua o toallas empapadas. </w:t>
      </w:r>
    </w:p>
    <w:p w14:paraId="40C37A60" w14:textId="77777777" w:rsidR="00922B52" w:rsidRDefault="00922B52" w:rsidP="00922B52">
      <w:r>
        <w:t xml:space="preserve">• Importante: el enfriamiento precoz puede reducir la profundidad de la quemadura y disminuir el dolor, pero debe hacerse cuidadosamente para evitar una excesiva disminución en la temperatura corporal. </w:t>
      </w:r>
    </w:p>
    <w:p w14:paraId="263A9310" w14:textId="77777777" w:rsidR="00922B52" w:rsidRDefault="00922B52" w:rsidP="00922B52">
      <w:r>
        <w:t>• En caso de síndrome inhalatorio: − Retirar cuanto antes de ambientes cerrados. − Administrar oxígeno al 100% para acelerar eliminación del monóxido de carbono</w:t>
      </w:r>
    </w:p>
    <w:p w14:paraId="30288CA7" w14:textId="77777777" w:rsidR="00922B52" w:rsidRDefault="00922B52" w:rsidP="00922B52"/>
    <w:p w14:paraId="1EA8B338" w14:textId="77777777" w:rsidR="00922B52" w:rsidRDefault="00922B52" w:rsidP="00922B52"/>
    <w:p w14:paraId="48F028EF" w14:textId="77777777" w:rsidR="00922B52" w:rsidRDefault="00922B52" w:rsidP="00922B52">
      <w:r w:rsidRPr="00922B52">
        <w:rPr>
          <w:b/>
        </w:rPr>
        <w:t xml:space="preserve"> Control de accesos venosos y hemodinamia.</w:t>
      </w:r>
      <w:r>
        <w:t xml:space="preserve"> </w:t>
      </w:r>
    </w:p>
    <w:p w14:paraId="405F3E81" w14:textId="77777777" w:rsidR="00922B52" w:rsidRDefault="00922B52" w:rsidP="00922B52">
      <w:r>
        <w:t>− Se debe colocar accesos periféricos o centrales (en lo posible en zonas dérmicas no quemadas). Se recomienda utilizar 1 o 2 vías venosas periféricas de buen calibre. − Hidratar con soluciones isotónicas, como solución fisiológica 20ml/kg/</w:t>
      </w:r>
      <w:proofErr w:type="spellStart"/>
      <w:r>
        <w:t>hs</w:t>
      </w:r>
      <w:proofErr w:type="spellEnd"/>
      <w:r>
        <w:t xml:space="preserve"> (fórmula de </w:t>
      </w:r>
      <w:proofErr w:type="spellStart"/>
      <w:r>
        <w:t>Parkland</w:t>
      </w:r>
      <w:proofErr w:type="spellEnd"/>
      <w:r>
        <w:t>), hasta precisar extensión y profundidad de la quemadura. − No utilizar en reanimación hídrica solución hipotónica (dextrosa al 5%): esto favorecerá la formación de edemas por su pasaje al compartimento intersticial y no previene de shock hipovolémico.</w:t>
      </w:r>
    </w:p>
    <w:p w14:paraId="47F5F0B0" w14:textId="77777777" w:rsidR="0001610B" w:rsidRDefault="00922B52" w:rsidP="00922B52">
      <w:r w:rsidRPr="00922B52">
        <w:rPr>
          <w:b/>
        </w:rPr>
        <w:t xml:space="preserve"> Control de temperatura corporal para evitar hipotermias.</w:t>
      </w:r>
      <w:r>
        <w:t xml:space="preserve"> </w:t>
      </w:r>
    </w:p>
    <w:p w14:paraId="6FCD4A92" w14:textId="77777777" w:rsidR="0001610B" w:rsidRDefault="00922B52" w:rsidP="00922B52">
      <w:r>
        <w:t xml:space="preserve">− Debido a la pérdida de piel como barrera termoaislante se deben cubrir las quemaduras para evitar la pérdida de calor por evaporización (cura oclusiva). − Cubrir con vendas y apósitos; mantener las heridas secas y limpias. − Brindar un ambiente térmico adecuado. </w:t>
      </w:r>
    </w:p>
    <w:p w14:paraId="20EDA100" w14:textId="411F7B63" w:rsidR="00922B52" w:rsidRDefault="00922B52" w:rsidP="00922B52">
      <w:r>
        <w:lastRenderedPageBreak/>
        <w:t>− Utilizar mantas, frazadas, sabanas limpias o material plástico (bolsa de consorcio limpia) para impedir la pérdida de temperatura. − En el caso de pacientes neonatos, de ser posible transportarlos en incubadora.</w:t>
      </w:r>
    </w:p>
    <w:p w14:paraId="57463113" w14:textId="77777777" w:rsidR="00922B52" w:rsidRDefault="00922B52" w:rsidP="00922B52"/>
    <w:p w14:paraId="3AD588F5" w14:textId="12ED678B" w:rsidR="00922B52" w:rsidRDefault="00BD0732" w:rsidP="00922B52">
      <w:pPr>
        <w:rPr>
          <w:b/>
          <w:bCs/>
        </w:rPr>
      </w:pPr>
      <w:r w:rsidRPr="00BD0732">
        <w:rPr>
          <w:b/>
          <w:bCs/>
        </w:rPr>
        <w:t>Cuidado de la herida en la atención inicial:</w:t>
      </w:r>
    </w:p>
    <w:p w14:paraId="6F47EF83" w14:textId="77777777" w:rsidR="0001610B" w:rsidRDefault="00BD0732" w:rsidP="00922B52">
      <w:r>
        <w:t xml:space="preserve">Lavar con solución fisiológica y </w:t>
      </w:r>
      <w:r w:rsidR="0001610B">
        <w:t xml:space="preserve">jabón líquido de clorhexidina. </w:t>
      </w:r>
    </w:p>
    <w:p w14:paraId="69769C2A" w14:textId="030844E6" w:rsidR="00BD0732" w:rsidRDefault="0001610B" w:rsidP="00922B52">
      <w:r>
        <w:t xml:space="preserve">Secar y cubrir con gasa </w:t>
      </w:r>
      <w:proofErr w:type="spellStart"/>
      <w:r>
        <w:t>vaselinada</w:t>
      </w:r>
      <w:proofErr w:type="spellEnd"/>
      <w:r>
        <w:t xml:space="preserve">. </w:t>
      </w:r>
    </w:p>
    <w:p w14:paraId="1866A92E" w14:textId="247CD73E" w:rsidR="0001610B" w:rsidRDefault="0001610B" w:rsidP="00922B52">
      <w:r>
        <w:t>Realizar un vendaje acolchado que sobrepase la herida y cubra todo el segmento corporal.</w:t>
      </w:r>
    </w:p>
    <w:p w14:paraId="71A2EDF8" w14:textId="701DD7ED" w:rsidR="0001610B" w:rsidRPr="00BD0732" w:rsidRDefault="0001610B" w:rsidP="00922B52">
      <w:r>
        <w:t>El vendaje debe ser firme, pero no compresivo. En manos y pies los dedos se vendan con gasas separadas y luego todo el segmento de la mano hasta el antebrazo, y el pie incluido el tobillo.</w:t>
      </w:r>
    </w:p>
    <w:p w14:paraId="2CF3FDCA" w14:textId="77777777" w:rsidR="00922B52" w:rsidRDefault="00922B52" w:rsidP="00922B52"/>
    <w:p w14:paraId="042BF45C" w14:textId="77777777" w:rsidR="00A56918" w:rsidRDefault="00922B52" w:rsidP="00922B52">
      <w:r>
        <w:t xml:space="preserve">• </w:t>
      </w:r>
      <w:r w:rsidRPr="00A56918">
        <w:rPr>
          <w:b/>
          <w:bCs/>
        </w:rPr>
        <w:t>Intervenciones en termorregulación.</w:t>
      </w:r>
      <w:r>
        <w:t xml:space="preserve"> </w:t>
      </w:r>
    </w:p>
    <w:p w14:paraId="3BD268F4" w14:textId="77777777" w:rsidR="00A56918" w:rsidRDefault="00922B52" w:rsidP="00922B52">
      <w:r>
        <w:t xml:space="preserve">− Realizar control de temperatura corporal, axilar, en pliegues posibles o recurrir a temperatura rectal u esofágica. El control de la temperatura corporal es de vital importancia ya que la alteración de </w:t>
      </w:r>
      <w:r w:rsidR="0001610B">
        <w:t>esta</w:t>
      </w:r>
      <w:r>
        <w:t xml:space="preserve"> puede repercutir de manera directa en el balance hemodinámico. </w:t>
      </w:r>
    </w:p>
    <w:p w14:paraId="28F0DCD0" w14:textId="012677E6" w:rsidR="00A56918" w:rsidRDefault="00922B52" w:rsidP="00922B52">
      <w:r>
        <w:t>− Brindar un ambiente óptimo con calefacción central, estufas y mantas térmicas para evitar cuadros de hipotermia, como así también minimizar la respuesta hipermetabóli</w:t>
      </w:r>
      <w:r w:rsidR="0001610B">
        <w:t>ca</w:t>
      </w:r>
      <w:r>
        <w:t xml:space="preserve">- </w:t>
      </w:r>
    </w:p>
    <w:p w14:paraId="1C83A38F" w14:textId="77777777" w:rsidR="00A56918" w:rsidRDefault="00922B52" w:rsidP="00922B52">
      <w:r>
        <w:t xml:space="preserve">− Controlar signos vitales (tensión arterial, temperatura corporal, frecuencia cardíaca). </w:t>
      </w:r>
    </w:p>
    <w:p w14:paraId="30806423" w14:textId="3B53E4F7" w:rsidR="0001610B" w:rsidRDefault="00922B52" w:rsidP="00922B52">
      <w:r>
        <w:t xml:space="preserve">− Controlar y observar relleno capilar, coloración, temperatura y palpar pulsos periféricos. − Medir presión venosa central (PVC); puede servir como indicador de volemia circulante. − Realizar balance de ingresos y egresos en forma estricta, cada 1 hora, durante las primeras 48 horas del ingreso. </w:t>
      </w:r>
    </w:p>
    <w:p w14:paraId="380CBE5B" w14:textId="77777777" w:rsidR="00A56918" w:rsidRDefault="00922B52" w:rsidP="00922B52">
      <w:r>
        <w:t xml:space="preserve">− Calcular de forma estricta el ritmo diurético. El mismo deberá mantenerse entre 1,5 y 2 ml/ kg/hora (estos valores indican reanimación hídrica adecuada). </w:t>
      </w:r>
    </w:p>
    <w:p w14:paraId="1B407140" w14:textId="413906FF" w:rsidR="0001610B" w:rsidRDefault="00922B52" w:rsidP="00922B52">
      <w:r>
        <w:t xml:space="preserve">− Preparar y administrar drogas vasoactivas (dopamina, adrenalina, noradrenalina, </w:t>
      </w:r>
      <w:proofErr w:type="spellStart"/>
      <w:r>
        <w:t>etc</w:t>
      </w:r>
      <w:proofErr w:type="spellEnd"/>
      <w:r>
        <w:t>) según indicación médica. Infundir estos fármacos con bombas de infusión y rotularlas</w:t>
      </w:r>
      <w:r w:rsidR="00A56918">
        <w:t>. Aumentar la reposición de líquidos</w:t>
      </w:r>
      <w:r>
        <w:t xml:space="preserve"> en caso de hidratación previa insuficiente. </w:t>
      </w:r>
    </w:p>
    <w:p w14:paraId="3658489F" w14:textId="77777777" w:rsidR="0001610B" w:rsidRDefault="00922B52" w:rsidP="00922B52">
      <w:r w:rsidRPr="0001610B">
        <w:rPr>
          <w:color w:val="C45911" w:themeColor="accent2" w:themeShade="BF"/>
        </w:rPr>
        <w:t>Fórmula de Galveston 1° día 2° día 2000 ml / m2 SCT + 5000 ml / m2 SCQ El 50% en las primeras 8 horas con Ringer. El 50% restante a las 16 horas con Ringer. + 12,5 gr de albúmina por litro de solución. 1500 ml / m2 SCT + 3750 ml / m2 SCQ El 100% durante 24 horas con Ringer. + 12,5 gr de albúmina por litro de solución. 37 ca, gasto energético y mejorar el confort del paciente.</w:t>
      </w:r>
      <w:r>
        <w:t xml:space="preserve"> </w:t>
      </w:r>
    </w:p>
    <w:p w14:paraId="528C5596" w14:textId="3850BCB7" w:rsidR="00A56918" w:rsidRDefault="00A56918" w:rsidP="00922B52">
      <w:r>
        <w:rPr>
          <w:noProof/>
        </w:rPr>
        <w:drawing>
          <wp:inline distT="0" distB="0" distL="0" distR="0" wp14:anchorId="30808E32" wp14:editId="20B7C86B">
            <wp:extent cx="2335747" cy="1279525"/>
            <wp:effectExtent l="0" t="0" r="7620" b="0"/>
            <wp:docPr id="25669810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"/>
                    <a:stretch/>
                  </pic:blipFill>
                  <pic:spPr bwMode="auto">
                    <a:xfrm>
                      <a:off x="0" y="0"/>
                      <a:ext cx="2392018" cy="13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316E9" w14:textId="77777777" w:rsidR="0001610B" w:rsidRDefault="0001610B" w:rsidP="00922B52"/>
    <w:p w14:paraId="275BFF9B" w14:textId="73E6CC28" w:rsidR="00922B52" w:rsidRDefault="00922B52" w:rsidP="00922B52">
      <w:r>
        <w:t xml:space="preserve">− Mantener al paciente seco, cubierto y limpio, a fin de impedir la pérdida de temperatura corporal por vendajes permeabilizados o quemaduras descubiertas. − Realizar lavado por arrastre con solución fisiológica </w:t>
      </w:r>
      <w:proofErr w:type="spellStart"/>
      <w:r>
        <w:t>parafacilitar</w:t>
      </w:r>
      <w:proofErr w:type="spellEnd"/>
      <w:r>
        <w:t xml:space="preserve"> la eliminación de tejido desvitalizado, el retiro de vendajes y disminuir riesgo de infección. − Realizar la primera curación al momento del ingreso. Utilizar solución jabonosa de clorhexidina al 4%. Luego, </w:t>
      </w:r>
      <w:proofErr w:type="spellStart"/>
      <w:r>
        <w:t>topicar</w:t>
      </w:r>
      <w:proofErr w:type="spellEnd"/>
      <w:r>
        <w:t xml:space="preserve"> con sulfadiazina de plata o </w:t>
      </w:r>
      <w:proofErr w:type="spellStart"/>
      <w:r>
        <w:t>furacin</w:t>
      </w:r>
      <w:proofErr w:type="spellEnd"/>
      <w:r>
        <w:t xml:space="preserve"> (solución de </w:t>
      </w:r>
      <w:proofErr w:type="spellStart"/>
      <w:r>
        <w:t>Nitrofurazona</w:t>
      </w:r>
      <w:proofErr w:type="spellEnd"/>
      <w:r>
        <w:t xml:space="preserve"> al 0,22%) y realizar vendaje oclusivo.</w:t>
      </w:r>
    </w:p>
    <w:p w14:paraId="03CF0011" w14:textId="77777777" w:rsidR="00A56918" w:rsidRDefault="00922B52" w:rsidP="00922B52">
      <w:r>
        <w:t xml:space="preserve">• </w:t>
      </w:r>
      <w:r w:rsidRPr="00A56918">
        <w:rPr>
          <w:b/>
          <w:bCs/>
        </w:rPr>
        <w:t xml:space="preserve">Intervenciones </w:t>
      </w:r>
      <w:proofErr w:type="spellStart"/>
      <w:r w:rsidRPr="00A56918">
        <w:rPr>
          <w:b/>
          <w:bCs/>
        </w:rPr>
        <w:t>infectológicas</w:t>
      </w:r>
      <w:proofErr w:type="spellEnd"/>
      <w:r w:rsidRPr="00A56918">
        <w:rPr>
          <w:b/>
          <w:bCs/>
        </w:rPr>
        <w:t>.</w:t>
      </w:r>
      <w:r>
        <w:t xml:space="preserve"> </w:t>
      </w:r>
    </w:p>
    <w:p w14:paraId="0F69B341" w14:textId="539B31B6" w:rsidR="00922B52" w:rsidRDefault="00922B52" w:rsidP="00922B52">
      <w:r>
        <w:t>− Realizar lavado de manos estricto, según protocolo institucional, respetando los cinco momentos. − Aislar al paciente en una habitación individual. − Usar guantes no estériles en procedimientos generales. − Utilizar guantes estériles en procedimientos invasivos (curación de zonas expuestas o cruentas). − Rasurar cuero cabelludo en caso de quemaduras faciales y cefálica. − Utilizar barreras de aislamiento preventivo (barbijo, antiparras, cofia y camisolín). − Mantener técnica séptica en procedimientos invasivos. − Realizar cambios diarios de soluciones a infundir y tubuladuras según las normas. − Realizar higiene ocular y aplicar ungüento protector (gel, lágrimas artificiales u eritromicina) para evitar úlceras de córnea. − Realizar higiene bucal con clorhexidina. − Realizar curación de accesos venosos y arteriales según las normas; rotular fecha de colocación y curación.</w:t>
      </w:r>
    </w:p>
    <w:p w14:paraId="0359F8FE" w14:textId="77777777" w:rsidR="00BD1B0D" w:rsidRDefault="00BD1B0D" w:rsidP="00922B52"/>
    <w:p w14:paraId="19AFF8CA" w14:textId="20A16382" w:rsidR="00BD1B0D" w:rsidRDefault="00BD1B0D" w:rsidP="00BD1B0D">
      <w:pPr>
        <w:pStyle w:val="Heading1"/>
      </w:pPr>
      <w:r>
        <w:t>Heridas crónicas:</w:t>
      </w:r>
    </w:p>
    <w:p w14:paraId="5FB90C44" w14:textId="15815EFD" w:rsidR="00BD1B0D" w:rsidRDefault="00BD1B0D" w:rsidP="00BD1B0D">
      <w:r>
        <w:rPr>
          <w:noProof/>
        </w:rPr>
        <w:drawing>
          <wp:inline distT="0" distB="0" distL="0" distR="0" wp14:anchorId="1F25D487" wp14:editId="36E8EC23">
            <wp:extent cx="5010047" cy="4396605"/>
            <wp:effectExtent l="0" t="0" r="635" b="4445"/>
            <wp:docPr id="1004063506" name="Picture 11" descr="A chart with yellow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63506" name="Picture 11" descr="A chart with yellow and white tex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 b="7894"/>
                    <a:stretch/>
                  </pic:blipFill>
                  <pic:spPr bwMode="auto">
                    <a:xfrm>
                      <a:off x="0" y="0"/>
                      <a:ext cx="5010150" cy="439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DC6C077" w14:textId="43C9A0CD" w:rsidR="00BD1B0D" w:rsidRPr="00BD1B0D" w:rsidRDefault="00BD1B0D" w:rsidP="00BD1B0D"/>
    <w:p w14:paraId="2284026C" w14:textId="5AF4F281" w:rsidR="009A2766" w:rsidRDefault="00BD1B0D" w:rsidP="00922B52">
      <w:pPr>
        <w:rPr>
          <w:lang w:val="es-ES"/>
        </w:rPr>
      </w:pPr>
      <w:r>
        <w:rPr>
          <w:noProof/>
        </w:rPr>
        <w:drawing>
          <wp:inline distT="0" distB="0" distL="0" distR="0" wp14:anchorId="23BD1543" wp14:editId="46BB04B6">
            <wp:extent cx="5400040" cy="2016760"/>
            <wp:effectExtent l="0" t="0" r="0" b="2540"/>
            <wp:docPr id="1791322232" name="Picture 9" descr="4. Preparación del lecho de la herida | Share4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. Preparación del lecho de la herida | Share4Ra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7546" w14:textId="32C567A7" w:rsidR="00BD1B0D" w:rsidRDefault="00BD1B0D" w:rsidP="00922B52">
      <w:pPr>
        <w:rPr>
          <w:lang w:val="es-ES"/>
        </w:rPr>
      </w:pPr>
      <w:r w:rsidRPr="00BD1B0D">
        <w:rPr>
          <w:noProof/>
          <w:lang w:val="es-ES"/>
        </w:rPr>
        <w:drawing>
          <wp:inline distT="0" distB="0" distL="0" distR="0" wp14:anchorId="5A264D9B" wp14:editId="3CD0D02A">
            <wp:extent cx="5400040" cy="5572125"/>
            <wp:effectExtent l="0" t="0" r="0" b="9525"/>
            <wp:docPr id="749927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270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6D37" w14:textId="5DEC5867" w:rsidR="009A2766" w:rsidRPr="00A634A9" w:rsidRDefault="00BD1B0D" w:rsidP="00922B52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F084275" wp14:editId="5BA0997C">
            <wp:extent cx="5400040" cy="8150860"/>
            <wp:effectExtent l="0" t="0" r="0" b="2540"/>
            <wp:docPr id="1028425522" name="Picture 8" descr="A poster of a person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5522" name="Picture 8" descr="A poster of a person's healt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766" w:rsidRPr="00A634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A9"/>
    <w:rsid w:val="0001610B"/>
    <w:rsid w:val="0016011A"/>
    <w:rsid w:val="001726BD"/>
    <w:rsid w:val="0031714E"/>
    <w:rsid w:val="004B15E0"/>
    <w:rsid w:val="007900D8"/>
    <w:rsid w:val="007B03E5"/>
    <w:rsid w:val="007F0234"/>
    <w:rsid w:val="008D3288"/>
    <w:rsid w:val="00922B52"/>
    <w:rsid w:val="009A2766"/>
    <w:rsid w:val="009C2A8E"/>
    <w:rsid w:val="00A56918"/>
    <w:rsid w:val="00A634A9"/>
    <w:rsid w:val="00BD0732"/>
    <w:rsid w:val="00B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34CC"/>
  <w15:chartTrackingRefBased/>
  <w15:docId w15:val="{AD089DBE-FAF0-49F6-8511-315251BF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B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2A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2A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C2A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A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C2A8E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D1B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1470</Words>
  <Characters>8380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EXO S.A.</Company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DANIELA DIAZ</dc:creator>
  <cp:keywords/>
  <dc:description/>
  <cp:lastModifiedBy>Barbara Diaz</cp:lastModifiedBy>
  <cp:revision>6</cp:revision>
  <dcterms:created xsi:type="dcterms:W3CDTF">2024-06-13T12:40:00Z</dcterms:created>
  <dcterms:modified xsi:type="dcterms:W3CDTF">2024-06-25T02:10:00Z</dcterms:modified>
</cp:coreProperties>
</file>